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5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651510" cy="107505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КЕМЕРОВСКАЯ ОБЛАСТЬ - КУЗБАСС</w:t>
      </w:r>
    </w:p>
    <w:p>
      <w:pPr>
        <w:pStyle w:val="Normal"/>
        <w:spacing w:before="0" w:after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НОВОКУЗНЕЦКИЙ ГОРОДСКОЙ ОКРУГ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13.03.2026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99</w:t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ListParagraph"/>
        <w:spacing w:lineRule="auto" w:line="240" w:before="0" w:after="0"/>
        <w:ind w:left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изменения в постановление</w:t>
        <w:br/>
        <w:t>администрации города Новокузнецка</w:t>
        <w:br/>
        <w:t>от 14.11.2025 №254 «Об утверждении</w:t>
        <w:br/>
        <w:t>муниципальной программы</w:t>
        <w:br/>
      </w:r>
      <w:r>
        <w:rPr>
          <w:rFonts w:ascii="Times New Roman" w:hAnsi="Times New Roman"/>
          <w:sz w:val="28"/>
          <w:szCs w:val="28"/>
        </w:rPr>
        <w:t>Новокузнецкого городского округа</w:t>
        <w:br/>
        <w:t>«Развитие субъектов малого и среднего</w:t>
        <w:br/>
        <w:t>предпринимательства в Новокузнецком</w:t>
        <w:br/>
        <w:t>городском округе»</w:t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решением Новокузнецкого городского Совета народных депутатов от 23.12.2025 №18/115 «О бюджете Новокузнецкого городского округа на 2026 год и на плановый период 2027 и 2028 годов», </w:t>
      </w:r>
      <w:hyperlink r:id="rId3">
        <w:r>
          <w:rPr>
            <w:rStyle w:val="Style4"/>
            <w:rFonts w:eastAsia="Calibri" w:ascii="Times New Roman" w:hAnsi="Times New Roman" w:eastAsiaTheme="minorHAnsi"/>
            <w:sz w:val="28"/>
            <w:szCs w:val="28"/>
          </w:rPr>
          <w:t>постановлением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 w:eastAsiaTheme="minorHAnsi"/>
          <w:sz w:val="28"/>
          <w:szCs w:val="28"/>
        </w:rPr>
        <w:t xml:space="preserve">администрации города Новокузнецка от 04.12.2019 №199 «Об утверждении Порядка разработки, реализации и оценки эффективности муниципальных программ Новокузнецкого городского округа», руководствуясь </w:t>
      </w:r>
      <w:hyperlink r:id="rId4">
        <w:r>
          <w:rPr>
            <w:rStyle w:val="Style4"/>
            <w:rFonts w:eastAsia="Calibri" w:ascii="Times New Roman" w:hAnsi="Times New Roman" w:eastAsiaTheme="minorHAnsi"/>
            <w:sz w:val="28"/>
            <w:szCs w:val="28"/>
          </w:rPr>
          <w:t>статьей 40</w:t>
        </w:r>
      </w:hyperlink>
      <w:r>
        <w:rPr>
          <w:rFonts w:eastAsia="Calibri" w:ascii="Times New Roman" w:hAnsi="Times New Roman" w:eastAsiaTheme="minorHAnsi"/>
          <w:sz w:val="28"/>
          <w:szCs w:val="28"/>
        </w:rPr>
        <w:t xml:space="preserve"> Устава Новокузнецкого городского округа: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1. Внести в постановление администрации города Новокузнецка от 14.11.2025 №254 «Об утверждении муниципальной программы Новокузнецкого городского округа «Развитие субъектов малого и среднего предпринимательства в Новокузнецком городском округе» изменение, изложив приложение «Муниципальная программа Новокузнецкого городского округа «Развитие субъектов малого и среднего предпринимательства в Новокузнецком городском округе» в новой редакции согласно приложению к настоящему постановлению.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2.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3. Настоящее постановление вступает в силу после его официального опубликования и распространяется на правоотношения, возникшие с 1 января 2026 года.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4. Контроль исполнения настоящего постановления возложить на заместителя Главы города по экономическим вопросам.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eastAsiaTheme="minorHAnsi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eastAsiaTheme="minorHAnsi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eastAsiaTheme="minorHAnsi" w:ascii="Times New Roman" w:hAnsi="Times New Roman"/>
          <w:sz w:val="28"/>
          <w:szCs w:val="28"/>
        </w:rPr>
      </w:r>
    </w:p>
    <w:tbl>
      <w:tblPr>
        <w:tblStyle w:val="af1"/>
        <w:tblW w:w="97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6"/>
        <w:gridCol w:w="4820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9"/>
                <w:tab w:val="left" w:pos="851" w:leader="none"/>
              </w:tabs>
              <w:spacing w:before="0" w:after="0"/>
              <w:ind w:hanging="0"/>
              <w:jc w:val="both"/>
              <w:rPr>
                <w:rFonts w:ascii="Times New Roman" w:hAnsi="Times New Roman" w:eastAsia="Calibri" w:eastAsiaTheme="minorHAnsi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kern w:val="0"/>
                <w:sz w:val="28"/>
                <w:szCs w:val="28"/>
                <w:lang w:val="ru-RU" w:bidi="ar-SA"/>
              </w:rPr>
              <w:t>Глава города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clear" w:pos="709"/>
                <w:tab w:val="left" w:pos="851" w:leader="none"/>
              </w:tabs>
              <w:spacing w:lineRule="auto" w:line="240" w:before="0" w:after="0"/>
              <w:ind w:firstLine="720" w:left="0"/>
              <w:contextualSpacing/>
              <w:jc w:val="right"/>
              <w:rPr>
                <w:rFonts w:ascii="Times New Roman" w:hAnsi="Times New Roman" w:eastAsia="Calibri" w:eastAsiaTheme="minorHAnsi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kern w:val="0"/>
                <w:sz w:val="28"/>
                <w:szCs w:val="28"/>
                <w:lang w:val="ru-RU" w:bidi="ar-SA"/>
              </w:rPr>
              <w:t>Д.П. Ильин</w:t>
            </w:r>
          </w:p>
        </w:tc>
      </w:tr>
    </w:tbl>
    <w:p>
      <w:pPr>
        <w:pStyle w:val="Normal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 w:ascii="Times New Roman" w:hAnsi="Times New Roman"/>
          <w:sz w:val="28"/>
          <w:szCs w:val="28"/>
          <w:lang w:eastAsia="en-US"/>
        </w:rPr>
      </w:r>
      <w:r>
        <w:br w:type="page"/>
      </w:r>
    </w:p>
    <w:p>
      <w:pPr>
        <w:pStyle w:val="ConsPlusNormal1"/>
        <w:numPr>
          <w:ilvl w:val="0"/>
          <w:numId w:val="0"/>
        </w:numPr>
        <w:spacing w:before="0"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Новокузнецка</w:t>
      </w:r>
    </w:p>
    <w:p>
      <w:pPr>
        <w:pStyle w:val="ConsPlusNormal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13.03.2026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99</w:t>
      </w:r>
    </w:p>
    <w:p>
      <w:pPr>
        <w:pStyle w:val="ConsPlusNormal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ConsPlusNormal1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Новокузнецка</w:t>
      </w:r>
    </w:p>
    <w:p>
      <w:pPr>
        <w:pStyle w:val="ConsPlusNormal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от 14.11.2025 №254</w:t>
      </w:r>
    </w:p>
    <w:p>
      <w:pPr>
        <w:pStyle w:val="ConsPlusTitle"/>
        <w:spacing w:before="360" w:after="240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bookmarkStart w:id="0" w:name="_Hlk211280665"/>
      <w:bookmarkStart w:id="1" w:name="P34"/>
      <w:bookmarkEnd w:id="1"/>
      <w:r>
        <w:rPr>
          <w:rFonts w:cs="Times New Roman" w:ascii="Times New Roman" w:hAnsi="Times New Roman"/>
          <w:b w:val="false"/>
          <w:sz w:val="28"/>
          <w:szCs w:val="28"/>
        </w:rPr>
        <w:t>Муниципальная программа Новокузнецкого городского округа</w:t>
      </w:r>
      <w:bookmarkEnd w:id="0"/>
      <w:r>
        <w:rPr>
          <w:rFonts w:cs="Times New Roman" w:ascii="Times New Roman" w:hAnsi="Times New Roman"/>
          <w:b w:val="false"/>
          <w:sz w:val="28"/>
          <w:szCs w:val="28"/>
        </w:rPr>
        <w:br/>
        <w:t>«Развитие субъектов малого и среднего предпринимательства</w:t>
        <w:br/>
        <w:t>в Новокузнецком городском округе»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Стратегические приоритеты муниципальной программы</w:t>
        <w:br/>
        <w:t>Новокузнецкого городского округа «Развитие субъектов малого</w:t>
        <w:br/>
        <w:t>и среднего предпринимательства в Новокузнецком городском округе»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bookmarkStart w:id="2" w:name="_Hlk211279886"/>
      <w:r>
        <w:rPr>
          <w:rFonts w:ascii="Times New Roman" w:hAnsi="Times New Roman"/>
          <w:sz w:val="28"/>
          <w:szCs w:val="28"/>
        </w:rPr>
        <w:t>1. Оценка текущего состояния сферы</w:t>
        <w:br/>
        <w:t>социально-экономического развития Новокузнецкого городского округа</w:t>
      </w:r>
      <w:bookmarkEnd w:id="2"/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Экономическое развитие оказывает прямое влияние на экономический рост, внедрение инновационных технологий, повышение качества и уровня жизни населения, повышение производительности труда и на достижение других стратегических целей социально-экономического развития Новокузнецкого городского округа.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малого и среднего бизнеса является неотъемлемым элементом рыночной системы Новокузнецкого городского округа, обеспечивающим высокий уровень и качество жизни населения.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предпринимательство является одной из самых эффективных форм организации производственной и непроизводственной деятельности, оказывает существенное влияние на экономическое развитие города Новокузнецка по разным направлениям, в том числе: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предпринимательства повышает инвестиционную привлекательность территории Новокузнецкого городского округа, а привлечение инвесторов в развитие экономики Новокузнецкого городского округа является одной из основных задач органов местного самоуправления Новокузнецкого городского округа.</w:t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Весомая роль в процессе развития экономики Новокузнецкого городского округа принадлежит малому и среднему бизнесу. Наличие субъектов малого и среднего предпринимательства непосредственно оказывает влияние на уровень занятости, объемы производства продукции, налоговые поступления в бюджет Новокузнецкого городского округа, тем самым определяя темпы экономического роста Новокузнецкого городского округа в целом. Ежегодно наблюдается не просто сохранение уже достигнутых показателей развития малого и среднего предпринимательства в экономике Новокузнецкого городского округа, но и их прирост.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Кемеровской области – Кузбассе определены нормативные правовые и организационные основы </w:t>
      </w:r>
      <w:bookmarkStart w:id="3" w:name="_Hlk211279483"/>
      <w:r>
        <w:rPr>
          <w:rFonts w:ascii="Times New Roman" w:hAnsi="Times New Roman"/>
          <w:sz w:val="28"/>
          <w:szCs w:val="28"/>
        </w:rPr>
        <w:t xml:space="preserve">государственной и муниципальной поддержки </w:t>
      </w:r>
      <w:bookmarkEnd w:id="3"/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предпринимательства. 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мероприятия государственной и муниципальной поддержки осуществляются в отношении: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субъектов, соответствующих критериям, установленным статьей 4 Федерального закона от 24.07.2007 №209-ФЗ «О развитии малого и среднего предпринимательства в Российской Федерации» (далее – Субъекты);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организаций, соответствующих критериям, установленным </w:t>
      </w:r>
      <w:hyperlink r:id="rId5">
        <w:r>
          <w:rPr>
            <w:rStyle w:val="Style4"/>
            <w:rFonts w:ascii="Times New Roman" w:hAnsi="Times New Roman"/>
            <w:sz w:val="28"/>
            <w:szCs w:val="28"/>
          </w:rPr>
          <w:t>статьей 15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24.07.2007 №209-ФЗ «О развитии малого и среднего предпринимательства в Российской Федерации» (далее – Организации);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физических лиц, не являющихся индивидуальными предпринимателями и применяющих специальный налоговый </w:t>
      </w:r>
      <w:hyperlink r:id="rId6">
        <w:r>
          <w:rPr>
            <w:rStyle w:val="Style4"/>
            <w:rFonts w:eastAsia="Calibri" w:ascii="Times New Roman" w:hAnsi="Times New Roman" w:eastAsiaTheme="minorHAnsi"/>
            <w:sz w:val="28"/>
            <w:szCs w:val="28"/>
            <w:lang w:eastAsia="en-US"/>
          </w:rPr>
          <w:t>режим</w:t>
        </w:r>
      </w:hyperlink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 «Налог на профессиональный доход» в соответствии </w:t>
      </w:r>
      <w:r>
        <w:rPr>
          <w:rFonts w:ascii="Times New Roman" w:hAnsi="Times New Roman"/>
          <w:sz w:val="28"/>
          <w:szCs w:val="28"/>
        </w:rPr>
        <w:t xml:space="preserve">со статьей 14.1 Федерального закона от 24.07.2007 №209-ФЗ «О развитии малого и среднего предпринимательства в Российской Федерации» 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(далее – Самозанятые)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ConsPlusNormal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Сложившаяся отраслевая структура малого и среднего предпринимательства за последние годы практически не изменилась. Появилась новая категория предпринимателей –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физические лица, не являющиеся индивидуальными предпринимателями, применяющие специальный налоговый </w:t>
      </w:r>
      <w:hyperlink r:id="rId7">
        <w:r>
          <w:rPr>
            <w:rStyle w:val="Style4"/>
            <w:rFonts w:eastAsia="Calibri" w:cs="Times New Roman" w:ascii="Times New Roman" w:hAnsi="Times New Roman" w:eastAsiaTheme="minorHAnsi"/>
            <w:sz w:val="28"/>
            <w:szCs w:val="28"/>
            <w:lang w:eastAsia="en-US"/>
          </w:rPr>
          <w:t>режим</w:t>
        </w:r>
      </w:hyperlink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«Налог на профессиональный доход».</w:t>
      </w:r>
    </w:p>
    <w:p>
      <w:pPr>
        <w:pStyle w:val="ListParagraph"/>
        <w:spacing w:lineRule="auto" w:line="240" w:before="0" w:after="0"/>
        <w:ind w:firstLine="709" w:left="0"/>
        <w:contextualSpacing w:val="false"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текущего состояния сферы социально-экономического развития Новокузнецкого городского округа:</w:t>
      </w:r>
    </w:p>
    <w:p>
      <w:pPr>
        <w:pStyle w:val="ConsPlusNormal1"/>
        <w:ind w:firstLine="709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количество малых и средних предприятий, включая микропредприятия, на конец 2024 года – 6 452 ед., оценочный показатель на 2025 год – 6 460 ед.;</w:t>
      </w:r>
    </w:p>
    <w:p>
      <w:pPr>
        <w:pStyle w:val="ConsPlusNormal1"/>
        <w:ind w:firstLine="709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количество индивидуальных предпринимателей на конец 2024 года – 11 130 ед., оценочный показатель на 2025 год – 11 130 ед.;</w:t>
      </w:r>
    </w:p>
    <w:p>
      <w:pPr>
        <w:pStyle w:val="ConsPlusNormal1"/>
        <w:ind w:firstLine="709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количество Самозанятых по данным инспекции Федеральной налоговой службы города Новокузнецка – 49 058 человек, всего занятых в бизнесе (Субъекты + Самозанятые) – 66 210 человек.</w:t>
      </w:r>
    </w:p>
    <w:p>
      <w:pPr>
        <w:pStyle w:val="ConsPlusNormal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По</w:t>
      </w:r>
      <w:r>
        <w:rPr>
          <w:rFonts w:cs="Times New Roman" w:ascii="Times New Roman" w:hAnsi="Times New Roman"/>
          <w:sz w:val="28"/>
          <w:szCs w:val="28"/>
        </w:rPr>
        <w:t xml:space="preserve"> информации Единого реестра субъектов малого и среднего предпринимательства, размещенного на официальном сайте Федеральной налоговой службы, сфера торговли (35,5 %) остается более привлекательной для малых и средних предприятий, чем промышленность. Привлекательность данной сферы объясняется, прежде всего, относительно быстрой окупаемостью вложенных средств, стабильным потребительским спросом.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сегодняшний день организации и индивидуальные предприниматели, получившие помощь со стороны городских властей и инфраструктуры поддержки предпринимательства, работают успешно, продолжая создавать новые рабочие места либо сохранять существующие, оплачивать налоги, что является существенным аспектом для развития экономики города Новокузнецка.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эффективного проведения государственной политики в сфере развития малого и среднего бизнеса и создания благоприятного предпринимательского климата необходима поддержка малого и среднего предпринимательства со стороны органов местного самоуправления.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органов местного самоуправления Новокузнецкого городского округа – оказать максимально возможное содействие и поддержку в развитии малого и среднего бизнеса на территории Новокузнецкого городского округа.</w:t>
      </w:r>
    </w:p>
    <w:p>
      <w:pPr>
        <w:pStyle w:val="ConsPlusTitle"/>
        <w:ind w:firstLine="709"/>
        <w:rPr>
          <w:rFonts w:ascii="Times New Roman" w:hAnsi="Times New Roman" w:cs="Times New Roman"/>
          <w:b w:val="false"/>
          <w:bCs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</w:rPr>
        <w:t>Одним из инструментов поддержки Субъектов и Организаций, является муниципальная программа Новокузнецкого городского округа «</w:t>
      </w:r>
      <w:r>
        <w:rPr>
          <w:rFonts w:cs="Times New Roman" w:ascii="Times New Roman" w:hAnsi="Times New Roman"/>
          <w:b w:val="false"/>
          <w:sz w:val="28"/>
          <w:szCs w:val="28"/>
        </w:rPr>
        <w:t>Развитие субъектов малого и среднего предпринимательства в Новокузнецком городском округе»</w:t>
      </w:r>
      <w:r>
        <w:rPr>
          <w:rFonts w:cs="Times New Roman" w:ascii="Times New Roman" w:hAnsi="Times New Roman"/>
          <w:b w:val="false"/>
          <w:bCs/>
          <w:sz w:val="28"/>
          <w:szCs w:val="28"/>
        </w:rPr>
        <w:t xml:space="preserve"> (далее – муниципальная программа).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 разработана на основе анализа существующего состояния малого и среднего предпринимательства города Новокузнецка с учетом тенденций и опыта оказания государственной поддержки субъектам малого и среднего бизнеса в Кемеровской области – Кузбассе и Российской Федерации.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программа представляет собой комплекс процессных мероприятий по созданию благоприятной среды для субъектов малого и среднего предпринимательства, организаций, образующих инфраструктуру поддержки субъектов малого и среднего предпринимательства. В то же время </w:t>
      </w:r>
      <w:r>
        <w:rPr>
          <w:rFonts w:ascii="Times New Roman" w:hAnsi="Times New Roman"/>
          <w:bCs/>
          <w:sz w:val="28"/>
          <w:szCs w:val="28"/>
        </w:rPr>
        <w:t>муниципальная программа</w:t>
      </w:r>
      <w:r>
        <w:rPr>
          <w:rFonts w:ascii="Times New Roman" w:hAnsi="Times New Roman"/>
          <w:sz w:val="28"/>
          <w:szCs w:val="28"/>
        </w:rPr>
        <w:t xml:space="preserve"> исходит из необходимости совершенствования механизмов реализации государственной политики в области поддержки малого и среднего предпринимательства и ее более тесной координации с общими задачами экономической политики на муниципальном уровне.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Разработчиком (ответственным исполнителем) муниципальной программы является управление потребительского рынка и развития предпринимательства администрации города Новокузнецка (далее – Управление). 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Исполнителями муниципальной программы являются Комитет по управлению муниципальным имуществом города Новокузнецка (далее – КУМИ), муниципальное автономное учреждение «Центр поддержки предпринимательства» (далее – Центр поддержки предпринимательства).</w:t>
      </w:r>
    </w:p>
    <w:p>
      <w:pPr>
        <w:pStyle w:val="ConsPlusNormal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Сектор малого и среднего предпринимательства является неотъемлемым элементом любой развитой хозяйственной системы, без которого не может эффективно развиваться экономика. Участвуя практически во всех видах экономической деятельности, субъекты малого и среднего предпринимательства, организации, образующие инфраструктуру поддержки субъектов малого и среднего предпринимательства, способствуют насыщению товарного рынка конкурентоспособной продукцией, работами и услугами, повышению занятости населения путем сохранения и создания дополнительных рабочих мест, внедрению новых форм организации производства, сбыту, приближению товаров, работ и услуг к потребителю.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местного самоуправления Новокузнецкого городского округа создают условия для развития малого и среднего бизнеса на территории Новокузнецкого городского округа. На территории Новокузнецкого городского округа сформирована и успешно работает инфраструктура поддержки малого и среднего предпринимательства.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распоряжения администрации города Новокузнецка от 19.02.2020 №202 «О создании муниципального автономного учреждения «Центр поддержки предпринимательства» в целях реализации национального проекта «Малое и среднее предпринимательство и поддержка индивидуальной предпринимательской инициативы» создан Центр поддержки предпринимательства.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поддержки предпринимательства оказывает услуги предпринимателям и физическим лицам, планирующим начать бизнес по системе «одного окна», помогает получить навыки ведения бизнеса, зарегистрировать свой бизнес, узнать о мерах государственной поддержки и о том, как ими воспользоваться. С каждым годом перечень услуг, предлагаемых Центром поддержки предпринимательства, увеличивается, причем услуги для начинающих предпринимателей оказываются на безвозмездной основе. Сегодня оказывается свыше 80 услуг для бизнеса – это юридические консультации, регистрация и перерегистрация бизнеса, оформление уставных документов, консультация экспертов в сфере закупок, трудовых отношений, консультации по вопросам налогообложения, разработка бизнес-планов и прочее.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реализация муниципальной программы направлена на проведение последовательной политики в области развития малого и среднего предпринимательства на территории Новокузнецкого городского округа, в частности: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стимулирования и поддержки начинающих Субъектов, Организаций, Самозанятых;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повышения эффективности деятельности Субъектов, Организаций, Самозанятых;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обеспечения доступности информации и повышения эффективности имущественной поддержки Субъектов, Организаций, Самозанятых, а также финансовой поддержки Субъектов, Организаций.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как итог создание новых рабочих мест и пополнение бюджета Новокузнецкого городского округа за счет налоговых поступлений.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проблемами для развития малого и среднего бизнеса на территории Новокузнецкого городского округа являются: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сложность доступа субъектов малого и среднего предпринимательства, организаций, образующих инфраструктуру поддержки субъектов малого и среднего предпринимательства, к финансовым ресурсам, предлагаемым кредитными организациями;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недостаточный уровень профессиональных знаний и навыков у начинающих предпринимателей;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слабая информированность предпринимательского сообщества о мероприятиях, направленных на поддержку и развитие предпринимательства;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недостаточное количество субъектов малого и среднего предпринимательства, осуществляющих приоритетные виды деятельности;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трудности в нахождении рынков сбыта продукции;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недостаток высококвалифицированных кадров;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недостаточная автоматизация технологических процессов;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 недостаточно сформированный положительный образ предпринимательства среди населения, стимулирующий вовлечение различных категорий граждан, включая 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физических лиц, не являющихся индивидуальными предпринимателями и применяющих специальный налоговый </w:t>
      </w:r>
      <w:hyperlink r:id="rId8">
        <w:r>
          <w:rPr>
            <w:rStyle w:val="Style4"/>
            <w:rFonts w:eastAsia="Calibri" w:ascii="Times New Roman" w:hAnsi="Times New Roman" w:eastAsiaTheme="minorHAnsi"/>
            <w:sz w:val="28"/>
            <w:szCs w:val="28"/>
            <w:lang w:eastAsia="en-US"/>
          </w:rPr>
          <w:t>режим</w:t>
        </w:r>
      </w:hyperlink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 «Налог на профессиональный доход»</w:t>
      </w:r>
      <w:r>
        <w:rPr>
          <w:rFonts w:ascii="Times New Roman" w:hAnsi="Times New Roman"/>
          <w:sz w:val="28"/>
          <w:szCs w:val="28"/>
        </w:rPr>
        <w:t>, в сектор малого и среднего предпринимательства, в том числе создание новых субъектов малого и среднего предпринимательства.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 нацелена на решение вышеуказанных проблем. Программный подход позволит проводить планомерную работу по созданию более благоприятного предпринимательского климата в городе Новокузнецке, объединению с этой целью усилий органов местного самоуправления Новокузнецкого городского округа,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Описание приоритетов и целей муниципальной политики</w:t>
        <w:br/>
        <w:t>в сфере реализации муниципальной программы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целеполагания и задачи реализации муниципальной программы сформированы в соответствии с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года», Законом Кемеровской области от 26.12.2018 №122-ОЗ «Об утверждении Стратегии социально-экономического развития Кемеровской области-Кузбасса на период до 2035 года», с учетом положений 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от 15.04.2014 №316 «Об утверждении государственной программы Российской Федерации «Экономическое развитие и инновационная экономика», государственной программы Кемеровской области-Кузбасса «Экономическое развитие и инновационная экономика Кузбасса», утвержденной постановлением Правительства Кемеровской области – Кузбасса от 06.10.2023 №667 «Об утверждении государственной программы Кемеровской области – Кузбасса «Экономическое развитие и инновационная экономика Кузбасса», </w:t>
      </w:r>
      <w:bookmarkStart w:id="4" w:name="_Hlk211277612"/>
      <w:r>
        <w:rPr>
          <w:rFonts w:ascii="Times New Roman" w:hAnsi="Times New Roman"/>
          <w:sz w:val="28"/>
          <w:szCs w:val="28"/>
        </w:rPr>
        <w:t>решения Новокузнецкого городского Совета народных депутатов от 25.12.2018 №17/157 «Об утверждении Стратегии социально-экономического развития Новокузнецкого городского округа до 2035 года» и включают в себя мероприятия, направленные на:</w:t>
      </w:r>
      <w:bookmarkEnd w:id="4"/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предоставление в обязательном порядке минимально достаточного комплекса услуг субъектам малого и среднего предпринимательства, действующим на территории Кузбасса;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всемерное содействие в увеличении количества субъектов малого и среднего предпринимательства и повышению качества производимых ими товаров и услуг; 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участие в разработке и реализации комплексных программ поддержки и развития малого и среднего предпринимательства; организация взаимодействия предприятий и организаций, осуществляющих поддержку малого и среднего предпринимательства в Кузбассе;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организацию информационного обеспечения предпринимательской деятельности на территории Кузбасса;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обеспечение взаимодействия между бизнесом и властью через проведение совместных акций (мероприятий) и организацию постоянного диалога между органами власти и объединениями предпринимателей при содействии структур поддержки предпринимательства;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популяризацию идей предпринимательства среди населения Кузбасса совместно с органами власти;</w:t>
      </w:r>
    </w:p>
    <w:p>
      <w:pPr>
        <w:pStyle w:val="NoSpacing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– </w:t>
      </w:r>
      <w:r>
        <w:rPr>
          <w:rFonts w:ascii="Times New Roman" w:hAnsi="Times New Roman"/>
          <w:sz w:val="28"/>
          <w:szCs w:val="28"/>
          <w:shd w:fill="FFFFFF" w:val="clear"/>
        </w:rPr>
        <w:t>организацию и проведение мероприятий, направленных на создание благоприятной внешней среды для предпринимательской деятельности.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Сведения о взаимосвязи со стратегическими приоритетами, целями и показателями государственных программ Кемеровской области-Кузбасса.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Целеполагание и задачи муниципальной программы связаны с национальной целью, определенной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года»: устойчивая и динамичная экономика, определенная Указом №309 Президента Российской Федерации.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достижения национальной цели определяется выполнением следующих показателей: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реальный рост дохода на одного работника субъекта малого и среднего предпринимательства в 1,2 раза выше, чем рост валового внутреннего продукта;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создание институциональных условий для постоянного профессионального развития работающих граждан, в том числе для получения новых профессий и повышения квалификации; увеличение доли креативных (творческих) индустрий в экономике.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Реальный рост дохода на одного работника субъекта малого и среднего предпринимательства, опережающий рост валового внутреннего продукта, отражает эффективное распределение ресурсов в экономике и создание добавленной стоимости, способствует росту потребительского спроса и стимулирует предпринимательскую активность.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указанного показателя обеспечивается за счет стимулирования структурных изменений в секторе малого и среднего предпринимательства, связанных с ростом числа субъектов малого и среднего предпринимательства в отраслях экономики.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Факторами достижения указанного показателя станут формирование для предпринимателей комфортной институциональной среды, упрощение и расширение доступа предпринимателей к мерам поддержки.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национальной цели муниципальная программа направлена на расширение доступа к финансовым ресурсам в приоритетных отраслях, увеличение охвата субъектов малого и среднего предпринимательства услугами и мерами инфраструктуры поддержки, а также достижение следующих показателей: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увеличение количества субъектов малого и среднего предпринимательства;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увеличение количества граждан, зарегистрированных в качестве Самозанятых, применяющих систему налогообложения «Налог на профессиональный доход»;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увеличение численности работников у субъектов малого и среднего предпринимательства, включая индивидуальных предпринимателей.</w:t>
      </w:r>
    </w:p>
    <w:p>
      <w:pPr>
        <w:pStyle w:val="ListParagraph"/>
        <w:spacing w:lineRule="auto" w:line="240" w:before="0" w:after="0"/>
        <w:ind w:firstLine="709" w:left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муниципальной программы является поддержка субъектов малого и среднего предпринимательства на территории Новокузнецкого городского округа.</w:t>
      </w:r>
    </w:p>
    <w:p>
      <w:pPr>
        <w:pStyle w:val="ListParagraph"/>
        <w:spacing w:lineRule="auto" w:line="240" w:before="0" w:after="0"/>
        <w:ind w:firstLine="709" w:left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FFFFFF" w:val="clear"/>
        </w:rPr>
        <w:t>Достижение цели, создаст условия для притока населения, сформирует устойчивую заинтересованность молодежи оставаться и строить жизнь на территории Новокузнецкого городского округа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Задачи муниципального управления, способы их эффективного</w:t>
        <w:br/>
        <w:t>решения в соответствующей отрасли экономики и сфере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эффективной реализации муниципальной программы, а также достижения стратегических целей и задач социально-экономического развития </w:t>
      </w:r>
      <w:bookmarkStart w:id="5" w:name="_Hlk211281746"/>
      <w:r>
        <w:rPr>
          <w:rFonts w:ascii="Times New Roman" w:hAnsi="Times New Roman"/>
          <w:sz w:val="28"/>
          <w:szCs w:val="28"/>
        </w:rPr>
        <w:t xml:space="preserve">Новокузнецкого городского округа до 2035 года </w:t>
      </w:r>
      <w:bookmarkEnd w:id="5"/>
      <w:r>
        <w:rPr>
          <w:rFonts w:ascii="Times New Roman" w:hAnsi="Times New Roman"/>
          <w:sz w:val="28"/>
          <w:szCs w:val="28"/>
        </w:rPr>
        <w:t>определены цели, разработаны структура и система показателей муниципальной программы.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Цель муниципальной программы: </w:t>
      </w:r>
      <w:r>
        <w:rPr>
          <w:rFonts w:ascii="Times New Roman" w:hAnsi="Times New Roman"/>
          <w:sz w:val="28"/>
          <w:szCs w:val="28"/>
        </w:rPr>
        <w:t>создание благоприятного предпринимательского климата и условий для ведения бизнеса на территории Новокузнецкого городского округа.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реализации </w:t>
      </w:r>
      <w:r>
        <w:rPr>
          <w:rFonts w:ascii="Times New Roman" w:hAnsi="Times New Roman"/>
          <w:iCs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программы определены следующие комплексы процессных мероприятий, обеспечивающие решение задач, направленных на достижение цели.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Комплекс процессных мероприятий «Поддержка субъектов малого и среднего предпринимательства на территории Новокузнецкого городского округа» (приложение №1 к настоящей муниципальной программе), направленный на решение следующих задач: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предоставление образовательной поддержки субъектам малого и среднего предпринимательства;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популяризация предпринимательской деятельности субъектов малого и среднего предпринимательства;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обеспечение функционирования Центра поддержки предпринимательства.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Комплекс процессных мероприятий «Создание условий для легкого старта и комфортного ведения бизнеса» (приложение №2 к настоящей муниципальной программе), направленный на решение задач:</w:t>
      </w:r>
    </w:p>
    <w:p>
      <w:pPr>
        <w:pStyle w:val="ListParagraph"/>
        <w:spacing w:lineRule="auto" w:line="24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предпринимательства;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консультационная поддержка субъектов малого и среднего предпринимательства.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Индикатором достижения цели муниципальной программы является показатель: 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количество субъектов малого и среднего предпринимательства на территории Новокузнецкого городского округа.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Способами эффективного решения задач, поставленных в рамках реализации муниципальной программы, является </w:t>
      </w:r>
      <w:r>
        <w:rPr>
          <w:rFonts w:ascii="Times New Roman" w:hAnsi="Times New Roman"/>
          <w:sz w:val="28"/>
          <w:szCs w:val="28"/>
        </w:rPr>
        <w:t>оказание имущественной поддержки Субъектам, Организациям и Самозанятым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9">
        <w:r>
          <w:rPr>
            <w:rStyle w:val="Style4"/>
            <w:rFonts w:ascii="Times New Roman" w:hAnsi="Times New Roman"/>
            <w:sz w:val="28"/>
            <w:szCs w:val="28"/>
          </w:rPr>
          <w:t>статьей 18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24.07.2007 №209-ФЗ «О развитии малого и среднего предпринимательства в Российской Федерации оказание имущественной поддержки Субъектам, Организациям и Самозанятым осуществляется в виде передачи в аренду на долгосрочной основе муниципального имущества, включенного в </w:t>
      </w:r>
      <w:hyperlink r:id="rId10">
        <w:r>
          <w:rPr>
            <w:rStyle w:val="Style4"/>
            <w:rFonts w:ascii="Times New Roman" w:hAnsi="Times New Roman"/>
            <w:sz w:val="28"/>
            <w:szCs w:val="28"/>
          </w:rPr>
          <w:t>Перечень</w:t>
        </w:r>
      </w:hyperlink>
      <w:r>
        <w:rPr>
          <w:rFonts w:ascii="Times New Roman" w:hAnsi="Times New Roman"/>
          <w:sz w:val="28"/>
          <w:szCs w:val="28"/>
        </w:rPr>
        <w:t xml:space="preserve"> муниципального имущества Новокузнецкого городского округа, предназначенного для оказания имущественной поддержки, предусмотренной статьей 18 Федерального закона «О развитии малого и среднего предпринимательства в Российской Федерации», утвержденный постановлением Новокузнецкого городского Совета народных депутатов от 29.10.2008 №9/110 «Об утверждении Перечня муниципального имущества Новокузнецкого городского округа, предназначенного для оказания имущественной поддержки, предусмотренной статьей 18 Федерального закона «О развитии малого и среднего предпринимательства в Российской Федерации».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Имущественная поддержка Субъектам, Организациям и Самозанятым предоставляется при соблюдении следующих условий на дату подачи заявления о предоставлении имущественной поддержки: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1) Субъект, Организация, Самозанятый зарегистрированы и фактически осуществляют предпринимательскую деятельность на территории Новокузнецкого городского округа;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2) Субъект, Организация, Самозанятый осуществляют приоритетные виды деятельности на территории Новокузнецкого городского округа;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3) Субъект (юридическое лицо), Организация не находятся в процессе реорганизации (за исключением реорганизации в форме присоединения к юридическому лицу, являющемуся претендентом на предоставление поддержки, другого юридического лица), ликвидации, в отношении них не должна быть введена процедура банкротства, а деятельность не должна быть приостановлена в порядке, предусмотренном законодательством Российской Федерации, а Субъект (индивидуальный предприниматель), Самозанятый не прекратили деятельность в качестве соответственно индивидуального предпринимателя, Самозанятого, и не признаны банкротами.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Приоритетными видами деятельности на территории Новокузнецкого городского округа определены следующие виды деятельности: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инновационная и научно-техническая деятельность, включая деятельность, связанную с использованием вычислительной техники и информационных технологий;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обрабатывающее производство;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строительство, архитектурная деятельность;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производство товаров народного потребления;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производство строительных материалов и комплектующих;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производство машин и оборудования;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обработка вторичного сырья и переработка отходов;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жилищно-коммунальное хозяйство, благоустройство городских территорий;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предоставление прочих коммунальных, социальных и персональных услуг;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экология;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сельское хозяйство, рыболовство и рыбоводство;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транспорт и связь;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образование, здравоохранение;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культура, спорт, организация отдыха и развлечений;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туристская деятельность, направленная на развитие внутреннего и въездного туризма;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переработка сельскохозяйственной продукции;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ремесленная деятельность;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услуги общественного питания;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бытовое обслуживание населения, в том числе социально направленное;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– </w:t>
      </w: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деятельность гостиниц;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Передача муниципального имущества в аренду Субъектам, Организациям и Самозанятым осуществляется по результатам проведения торгов на право заключения договоров аренды.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Торги на право заключения договоров аренды проводятся в форме конкурсов или аукционов в соответствии с </w:t>
      </w:r>
      <w:hyperlink r:id="rId11">
        <w:r>
          <w:rPr>
            <w:rStyle w:val="Style4"/>
            <w:rFonts w:eastAsia="Calibri" w:ascii="Times New Roman" w:hAnsi="Times New Roman" w:eastAsiaTheme="minorHAnsi"/>
            <w:sz w:val="28"/>
            <w:szCs w:val="28"/>
            <w:lang w:eastAsia="en-US"/>
          </w:rPr>
          <w:t>приказом</w:t>
        </w:r>
      </w:hyperlink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 Федеральной антимонопольной службы от 21.03.2023 №147/23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и </w:t>
      </w:r>
      <w:hyperlink r:id="rId12">
        <w:r>
          <w:rPr>
            <w:rStyle w:val="Style4"/>
            <w:rFonts w:eastAsia="Calibri" w:ascii="Times New Roman" w:hAnsi="Times New Roman" w:eastAsiaTheme="minorHAnsi"/>
            <w:sz w:val="28"/>
            <w:szCs w:val="28"/>
            <w:lang w:eastAsia="en-US"/>
          </w:rPr>
          <w:t>Положением</w:t>
        </w:r>
      </w:hyperlink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 xml:space="preserve"> о порядке передачи в аренду и безвозмездное пользование муниципального имущества Новокузнецкого городского округа, утвержденным решением Новокузнецкого городского Совета народных депутатов от 26.04.2012 №4/77 «Об утверждении Положения о порядке передачи в аренду и безвозмездное пользование муниципального имущества Новокузнецкого городского округа». Организатором конкурсов или аукционов является Комитет по управлению муниципальным имуществом города Новокузнецка.</w:t>
      </w:r>
    </w:p>
    <w:p>
      <w:pPr>
        <w:pStyle w:val="Normal"/>
        <w:spacing w:before="0" w:after="0"/>
        <w:ind w:firstLine="709"/>
        <w:rPr>
          <w:rFonts w:ascii="Times New Roman" w:hAnsi="Times New Roman" w:eastAsia="Calibri" w:eastAsiaTheme="minorHAnsi"/>
          <w:sz w:val="28"/>
          <w:szCs w:val="28"/>
          <w:lang w:eastAsia="en-US"/>
        </w:rPr>
      </w:pPr>
      <w:r>
        <w:rPr>
          <w:rFonts w:eastAsia="Calibri" w:ascii="Times New Roman" w:hAnsi="Times New Roman" w:eastAsiaTheme="minorHAnsi"/>
          <w:sz w:val="28"/>
          <w:szCs w:val="28"/>
          <w:lang w:eastAsia="en-US"/>
        </w:rPr>
        <w:t>Имущественная поддержка в виде передачи в аренду на долгосрочной основе муниципального имущества оказывается Субъектам, Организациям, Самозанятым при условии использования ее в целях осуществления предпринимательской деятельности.</w:t>
      </w:r>
    </w:p>
    <w:p>
      <w:pPr>
        <w:pStyle w:val="Normal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eastAsia="Calibri" w:ascii="Times New Roman" w:hAnsi="Times New Roman"/>
          <w:sz w:val="28"/>
          <w:szCs w:val="28"/>
          <w:lang w:eastAsia="en-US"/>
        </w:rPr>
      </w:r>
      <w:r>
        <w:br w:type="page"/>
      </w:r>
    </w:p>
    <w:p>
      <w:pPr>
        <w:pStyle w:val="ListParagraph"/>
        <w:spacing w:lineRule="auto" w:line="240" w:before="0" w:after="12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  <w:br/>
        <w:t>муниципальной программы Новокузнецкого городского округа</w:t>
        <w:br/>
        <w:t>«Развитие субъектов малого и среднего предпринимательства</w:t>
        <w:br/>
        <w:t>в Новокузнецком городском округе»</w:t>
      </w:r>
    </w:p>
    <w:p>
      <w:pPr>
        <w:pStyle w:val="ListParagraph"/>
        <w:spacing w:lineRule="auto" w:line="240" w:before="12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 Основные положения</w:t>
      </w:r>
    </w:p>
    <w:tbl>
      <w:tblPr>
        <w:tblStyle w:val="af1"/>
        <w:tblW w:w="9747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3793"/>
        <w:gridCol w:w="5953"/>
      </w:tblGrid>
      <w:tr>
        <w:trPr/>
        <w:tc>
          <w:tcPr>
            <w:tcW w:w="379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Наименование программы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0" w:leader="none"/>
              </w:tabs>
              <w:spacing w:before="0" w:after="0"/>
              <w:ind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Развитие субъектов малого и среднего предпринимательства в Новокузнецком городском округе</w:t>
            </w:r>
          </w:p>
        </w:tc>
      </w:tr>
      <w:tr>
        <w:trPr/>
        <w:tc>
          <w:tcPr>
            <w:tcW w:w="379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Реквизиты распоряжения администрации города Новокузнецка об утверждении</w:t>
            </w:r>
          </w:p>
        </w:tc>
        <w:tc>
          <w:tcPr>
            <w:tcW w:w="59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Распоряжение администрации города Новокузнецка от 20.09.2018 №1341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реализации»</w:t>
            </w:r>
          </w:p>
        </w:tc>
      </w:tr>
      <w:tr>
        <w:trPr/>
        <w:tc>
          <w:tcPr>
            <w:tcW w:w="379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Директор (куратор) программы</w:t>
            </w:r>
          </w:p>
        </w:tc>
        <w:tc>
          <w:tcPr>
            <w:tcW w:w="59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Заместитель Главы по экономическим вопросам</w:t>
            </w:r>
          </w:p>
        </w:tc>
      </w:tr>
      <w:tr>
        <w:trPr>
          <w:trHeight w:val="860" w:hRule="atLeast"/>
        </w:trPr>
        <w:tc>
          <w:tcPr>
            <w:tcW w:w="379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Разработчик (ответственный исполнитель) программы</w:t>
            </w:r>
          </w:p>
        </w:tc>
        <w:tc>
          <w:tcPr>
            <w:tcW w:w="59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Управление потребительского рынка и развития предпринимательства администрации города Новокузнецка (далее – Управление)</w:t>
            </w:r>
          </w:p>
        </w:tc>
      </w:tr>
      <w:tr>
        <w:trPr/>
        <w:tc>
          <w:tcPr>
            <w:tcW w:w="379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Период реализации программы</w:t>
            </w:r>
          </w:p>
        </w:tc>
        <w:tc>
          <w:tcPr>
            <w:tcW w:w="59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2026–2030 годы</w:t>
            </w:r>
          </w:p>
        </w:tc>
      </w:tr>
      <w:tr>
        <w:trPr>
          <w:trHeight w:val="908" w:hRule="atLeast"/>
        </w:trPr>
        <w:tc>
          <w:tcPr>
            <w:tcW w:w="379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Цели программы</w:t>
            </w:r>
          </w:p>
        </w:tc>
        <w:tc>
          <w:tcPr>
            <w:tcW w:w="59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Создание благоприятного предпринимательского климата и условий для ведения бизнеса на территории Новокузнецкого городского округа</w:t>
            </w:r>
          </w:p>
        </w:tc>
      </w:tr>
      <w:tr>
        <w:trPr/>
        <w:tc>
          <w:tcPr>
            <w:tcW w:w="379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Направления (подпрограмма) программы</w:t>
            </w:r>
          </w:p>
        </w:tc>
        <w:tc>
          <w:tcPr>
            <w:tcW w:w="59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х</w:t>
            </w:r>
          </w:p>
        </w:tc>
      </w:tr>
      <w:tr>
        <w:trPr/>
        <w:tc>
          <w:tcPr>
            <w:tcW w:w="379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Объемы финансового обеспечения за весь период реализации программы</w:t>
            </w:r>
          </w:p>
        </w:tc>
        <w:tc>
          <w:tcPr>
            <w:tcW w:w="59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36 241,6 тыс. рублей</w:t>
            </w:r>
          </w:p>
        </w:tc>
      </w:tr>
      <w:tr>
        <w:trPr/>
        <w:tc>
          <w:tcPr>
            <w:tcW w:w="379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Связь с национальными целями развития Российской Федерации/государственной программой Кемеровской области-Кузбасса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kern w:val="0"/>
                <w:sz w:val="26"/>
                <w:szCs w:val="26"/>
                <w:lang w:val="ru-RU" w:bidi="ar-SA"/>
              </w:rPr>
              <w:t>1. Национальная цель: у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стойчивая и динамичная экономика.</w:t>
            </w:r>
          </w:p>
          <w:p>
            <w:pPr>
              <w:pStyle w:val="ConsPlusNormal1"/>
              <w:spacing w:before="0" w:after="0"/>
              <w:ind w:hanging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2. Государственная программа Кемеровской области-Кузбасса «Экономическое развитие и инновационная экономика Кузбасса», утвержденная постановлением Правительства Кемеровской области-Кузбасса от 06.10.2023 №667 «Об утверждении государственной программы Кемеровской области-Кузбасса «Экономическое развитие и инновационная экономика Кузбасса»</w:t>
            </w:r>
          </w:p>
        </w:tc>
      </w:tr>
    </w:tbl>
    <w:p>
      <w:pPr>
        <w:pStyle w:val="Normal"/>
        <w:spacing w:before="120" w:after="120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Принятое сокращение:</w:t>
      </w:r>
    </w:p>
    <w:p>
      <w:pPr>
        <w:pStyle w:val="Normal"/>
        <w:spacing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ОМСУ – показатели для оценки эффективности деятельности органа местного самоуправления Новокузнецкого городского округа.</w:t>
      </w:r>
    </w:p>
    <w:p>
      <w:pPr>
        <w:sectPr>
          <w:headerReference w:type="even" r:id="rId13"/>
          <w:headerReference w:type="default" r:id="rId14"/>
          <w:headerReference w:type="first" r:id="rId15"/>
          <w:type w:val="nextPage"/>
          <w:pgSz w:w="11906" w:h="16838"/>
          <w:pgMar w:left="1418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before="0" w:after="200"/>
        <w:jc w:val="left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p>
      <w:pPr>
        <w:pStyle w:val="ListParagraph"/>
        <w:spacing w:lineRule="auto" w:line="240" w:before="24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 Показатели муниципальной программы</w:t>
      </w:r>
    </w:p>
    <w:tbl>
      <w:tblPr>
        <w:tblW w:w="15660" w:type="dxa"/>
        <w:jc w:val="left"/>
        <w:tblInd w:w="-297" w:type="dxa"/>
        <w:tblLayout w:type="fixed"/>
        <w:tblCellMar>
          <w:top w:w="45" w:type="dxa"/>
          <w:left w:w="62" w:type="dxa"/>
          <w:bottom w:w="45" w:type="dxa"/>
          <w:right w:w="62" w:type="dxa"/>
        </w:tblCellMar>
        <w:tblLook w:val="04a0"/>
      </w:tblPr>
      <w:tblGrid>
        <w:gridCol w:w="709"/>
        <w:gridCol w:w="1702"/>
        <w:gridCol w:w="850"/>
        <w:gridCol w:w="857"/>
        <w:gridCol w:w="994"/>
        <w:gridCol w:w="871"/>
        <w:gridCol w:w="736"/>
        <w:gridCol w:w="945"/>
        <w:gridCol w:w="850"/>
        <w:gridCol w:w="850"/>
        <w:gridCol w:w="710"/>
        <w:gridCol w:w="709"/>
        <w:gridCol w:w="1834"/>
        <w:gridCol w:w="1134"/>
        <w:gridCol w:w="1909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Условное обозначение единицы измерения (по </w:t>
            </w:r>
            <w:hyperlink r:id="rId16">
              <w:r>
                <w:rPr>
                  <w:rStyle w:val="Style4"/>
                  <w:rFonts w:cs="Times New Roman" w:ascii="Times New Roman" w:hAnsi="Times New Roman"/>
                  <w:sz w:val="24"/>
                  <w:szCs w:val="24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Документ, подтверждающий уровень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Исполнитель, ответственный за достижение показателя 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>
          <w:trHeight w:val="53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9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Создание благоприятного предпринимательского климата и условий для ведения бизнеса на территории Новокузнецкого городского округа</w:t>
            </w:r>
          </w:p>
        </w:tc>
      </w:tr>
      <w:tr>
        <w:trPr>
          <w:trHeight w:val="50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ОМСУ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17651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18350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Распоряжение администрации города Новокузнецка от 16.09.2024 №1485 «Об оценке эффективности деятельности органов местного самоуправления Новокузнецкого городского округа»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 2024</w:t>
              <w:softHyphen/>
              <w:t>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</w:p>
        </w:tc>
      </w:tr>
    </w:tbl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ListParagraph"/>
        <w:spacing w:lineRule="auto" w:line="240" w:before="0" w:after="240"/>
        <w:ind w:left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 Помесячный план достижения показателей муниципальной программы в 2026 году</w:t>
      </w:r>
    </w:p>
    <w:tbl>
      <w:tblPr>
        <w:tblW w:w="15371" w:type="dxa"/>
        <w:jc w:val="left"/>
        <w:tblInd w:w="-155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545"/>
        <w:gridCol w:w="1866"/>
        <w:gridCol w:w="1274"/>
        <w:gridCol w:w="1276"/>
        <w:gridCol w:w="926"/>
        <w:gridCol w:w="851"/>
        <w:gridCol w:w="850"/>
        <w:gridCol w:w="850"/>
        <w:gridCol w:w="850"/>
        <w:gridCol w:w="852"/>
        <w:gridCol w:w="850"/>
        <w:gridCol w:w="850"/>
        <w:gridCol w:w="850"/>
        <w:gridCol w:w="851"/>
        <w:gridCol w:w="918"/>
        <w:gridCol w:w="908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Условное обозначение единицы измерения (по ОКЕИ)</w:t>
            </w:r>
          </w:p>
        </w:tc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конец 2026 года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3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>
          <w:trHeight w:val="557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8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Создание благоприятного предпринимательского климата и условий для ведения бизнеса на территории Новокузнецкого городского округа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субъектов малого и среднего предпринимательства на территории Новокузнецкого городского округа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ОМСУ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17160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17175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17325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17475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17495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17520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17540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17755</w:t>
            </w:r>
          </w:p>
        </w:tc>
      </w:tr>
    </w:tbl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ListParagraph"/>
        <w:spacing w:lineRule="auto" w:line="240" w:before="0" w:after="240"/>
        <w:ind w:left="0"/>
        <w:contextualSpacing w:val="fals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4. Структура муниципальной программы</w:t>
      </w:r>
    </w:p>
    <w:tbl>
      <w:tblPr>
        <w:tblW w:w="15097" w:type="dxa"/>
        <w:jc w:val="left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736"/>
        <w:gridCol w:w="5846"/>
        <w:gridCol w:w="5533"/>
        <w:gridCol w:w="2981"/>
      </w:tblGrid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bookmarkStart w:id="6" w:name="P959"/>
            <w:bookmarkEnd w:id="6"/>
            <w:r>
              <w:rPr>
                <w:rFonts w:ascii="Times New Roman" w:hAnsi="Times New Roman"/>
                <w:szCs w:val="24"/>
              </w:rPr>
              <w:t>№</w:t>
            </w:r>
            <w:r>
              <w:rPr>
                <w:rFonts w:ascii="Times New Roman" w:hAnsi="Times New Roman"/>
                <w:szCs w:val="24"/>
              </w:rPr>
              <w:br/>
              <w:t>п/п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Задачи структурного элемента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Связь с показателями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программы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097" w:type="dxa"/>
        <w:jc w:val="left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736"/>
        <w:gridCol w:w="5846"/>
        <w:gridCol w:w="5533"/>
        <w:gridCol w:w="2981"/>
      </w:tblGrid>
      <w:tr>
        <w:trPr>
          <w:tblHeader w:val="true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Комплекс процессных мероприятий «Поддержка субъектов малого и среднего предпринимательства на территории Новокузнецкого городского округа»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Ответственный за реализацию</w:t>
            </w:r>
            <w:r>
              <w:rPr>
                <w:rFonts w:ascii="Times New Roman" w:hAnsi="Times New Roman"/>
                <w:i/>
                <w:szCs w:val="24"/>
              </w:rPr>
              <w:t xml:space="preserve">: </w:t>
            </w:r>
            <w:r>
              <w:rPr>
                <w:rFonts w:eastAsia="Calibri" w:ascii="Times New Roman" w:hAnsi="Times New Roman" w:eastAsiaTheme="minorHAnsi"/>
                <w:szCs w:val="24"/>
                <w:lang w:eastAsia="en-US"/>
              </w:rPr>
              <w:t xml:space="preserve">Управление 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Срок реализации: 01.01.2026 – 31.12.2030</w:t>
            </w:r>
          </w:p>
        </w:tc>
      </w:tr>
      <w:tr>
        <w:trPr>
          <w:trHeight w:val="1475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1. Предоставление образовательной поддержки субъектам малого и среднего предпринимательства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Содействие повышению образовательного уровня в сфере ведения бизнеса субъектами малого и среднего предпринимательства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</w:tr>
      <w:tr>
        <w:trPr>
          <w:trHeight w:val="1754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2. Популяризация предпринимательской деятельности субъектов малого и среднего предпринимательства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рамках мероприятия «Популяризация предпринимательской деятельности» проведение ежегодного конкурса «Бизнес признание» на территории Новокузнецкого городского округа» (далее – Конкурс)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1.3.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Задача 3. Обеспечение функционирования </w:t>
            </w:r>
            <w:r>
              <w:rPr>
                <w:rFonts w:eastAsia="Calibri" w:ascii="Times New Roman" w:hAnsi="Times New Roman"/>
                <w:szCs w:val="24"/>
              </w:rPr>
              <w:t xml:space="preserve">Центра поддержки </w:t>
            </w:r>
            <w:r>
              <w:rPr>
                <w:rFonts w:ascii="Times New Roman" w:hAnsi="Times New Roman"/>
                <w:szCs w:val="24"/>
              </w:rPr>
              <w:t>предпринимательства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Обеспечение комплексной поддержки субъектов малого и среднего предпринимательства и самозанятых на единой площадке </w:t>
            </w:r>
            <w:r>
              <w:rPr>
                <w:rFonts w:eastAsia="Calibri" w:ascii="Times New Roman" w:hAnsi="Times New Roman"/>
                <w:szCs w:val="24"/>
              </w:rPr>
              <w:t xml:space="preserve">Центра поддержки </w:t>
            </w:r>
            <w:r>
              <w:rPr>
                <w:rFonts w:ascii="Times New Roman" w:hAnsi="Times New Roman"/>
                <w:szCs w:val="24"/>
              </w:rPr>
              <w:t>предпринимательства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Комплекс процессных мероприятий «Создание условий для легкого старта и комфортного ведения бизнеса»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Ответственный за реализацию</w:t>
            </w:r>
            <w:r>
              <w:rPr>
                <w:rFonts w:ascii="Times New Roman" w:hAnsi="Times New Roman"/>
                <w:i/>
                <w:szCs w:val="24"/>
              </w:rPr>
              <w:t xml:space="preserve">: </w:t>
            </w:r>
            <w:r>
              <w:rPr>
                <w:rFonts w:eastAsia="Calibri" w:ascii="Times New Roman" w:hAnsi="Times New Roman" w:eastAsiaTheme="minorHAnsi"/>
                <w:szCs w:val="24"/>
                <w:lang w:eastAsia="en-US"/>
              </w:rPr>
              <w:t>Управление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Срок реализации: 01.01.2026 – 31.12.2030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1. 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льготного доступа субъектов малого и среднего предпринимательства к производственным площадям и помещениям в целях создания и развития производственных и инновационных компаний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2. Консультационная поддержка субъектов малого и среднего предпринимательства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информационной, консультационной поддержки для реализации и развития бизнес-проектов субъектов малого и среднего предпринимательства, организаций, образующих инфраструктуру поддержки субъектов малого и среднего предпринимательства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на территории Новокузнецкого городского округа</w:t>
            </w:r>
          </w:p>
        </w:tc>
      </w:tr>
    </w:tbl>
    <w:p>
      <w:pPr>
        <w:pStyle w:val="Normal"/>
        <w:spacing w:lineRule="auto" w:line="276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ListParagraph"/>
        <w:spacing w:lineRule="auto" w:line="240" w:before="0" w:after="240"/>
        <w:ind w:left="0"/>
        <w:contextualSpacing w:val="fals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5. Финансовое обеспечение муниципальной программы</w:t>
      </w:r>
    </w:p>
    <w:tbl>
      <w:tblPr>
        <w:tblStyle w:val="af1"/>
        <w:tblW w:w="14537" w:type="dxa"/>
        <w:jc w:val="left"/>
        <w:tblInd w:w="221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816"/>
        <w:gridCol w:w="6241"/>
        <w:gridCol w:w="1195"/>
        <w:gridCol w:w="1197"/>
        <w:gridCol w:w="1244"/>
        <w:gridCol w:w="1285"/>
        <w:gridCol w:w="1287"/>
        <w:gridCol w:w="1270"/>
      </w:tblGrid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№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br/>
              <w:t>п/п</w:t>
            </w:r>
          </w:p>
        </w:tc>
        <w:tc>
          <w:tcPr>
            <w:tcW w:w="624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7478" w:type="dxa"/>
            <w:gridSpan w:val="6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28" w:hRule="atLeast"/>
        </w:trPr>
        <w:tc>
          <w:tcPr>
            <w:tcW w:w="81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2026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2027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2028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2029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2030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Всего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4537" w:type="dxa"/>
        <w:jc w:val="left"/>
        <w:tblInd w:w="221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816"/>
        <w:gridCol w:w="6241"/>
        <w:gridCol w:w="1195"/>
        <w:gridCol w:w="1197"/>
        <w:gridCol w:w="1244"/>
        <w:gridCol w:w="1285"/>
        <w:gridCol w:w="1287"/>
        <w:gridCol w:w="1270"/>
      </w:tblGrid>
      <w:tr>
        <w:trPr>
          <w:tblHeader w:val="true"/>
          <w:trHeight w:val="228" w:hRule="atLeast"/>
        </w:trPr>
        <w:tc>
          <w:tcPr>
            <w:tcW w:w="8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</w:t>
            </w:r>
          </w:p>
        </w:tc>
      </w:tr>
      <w:tr>
        <w:trPr>
          <w:trHeight w:val="434" w:hRule="atLeast"/>
        </w:trPr>
        <w:tc>
          <w:tcPr>
            <w:tcW w:w="816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</w:t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Муниципальная программа Новокузнецкого городского округа «Развитие субъектов малого и среднего предпринимательства в Новокузнецком городском округе», в т.ч.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12 503,8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36 241,6</w:t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12 103,8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11 743,9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11 993,9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35 841,6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Исполнитель «Комитет по управлению муниципальным имуществом города Новокузнецка» 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12 503,8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36 241,6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12 103,8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11  993,9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35 841,6</w:t>
            </w:r>
          </w:p>
        </w:tc>
      </w:tr>
      <w:tr>
        <w:trPr/>
        <w:tc>
          <w:tcPr>
            <w:tcW w:w="816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</w:tr>
      <w:tr>
        <w:trPr/>
        <w:tc>
          <w:tcPr>
            <w:tcW w:w="816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</w:t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Комплексы процессных мероприятий: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12 503,8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36 241,6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  <w:bookmarkStart w:id="7" w:name="_Hlk211369608"/>
            <w:bookmarkEnd w:id="7"/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12 103,8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 xml:space="preserve">35 841,6 </w:t>
            </w:r>
          </w:p>
        </w:tc>
      </w:tr>
      <w:tr>
        <w:trPr/>
        <w:tc>
          <w:tcPr>
            <w:tcW w:w="816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400,0</w:t>
            </w:r>
          </w:p>
        </w:tc>
      </w:tr>
      <w:tr>
        <w:trPr/>
        <w:tc>
          <w:tcPr>
            <w:tcW w:w="816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Исполнитель «Комитет по управлению муниципальным имуществом города Новокузнецка» 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12 503,8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36 241,6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12 103,8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35 841,6</w:t>
            </w:r>
          </w:p>
        </w:tc>
      </w:tr>
      <w:tr>
        <w:trPr/>
        <w:tc>
          <w:tcPr>
            <w:tcW w:w="816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400,0 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</w:tr>
      <w:tr>
        <w:trPr/>
        <w:tc>
          <w:tcPr>
            <w:tcW w:w="816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2.1.</w:t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Комплекс процессных мероприятий «Поддержка субъектов малого и среднего предпринимательства на территории Новокузнецкого городского округа»: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12 503,8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36 241,6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12 103,8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35 841,6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400,0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Исполнитель «Комитет по управлению муниципальным имуществом города Новокузнецка» 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12 503,8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36 241,6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12 103,8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35 841,6</w:t>
            </w:r>
          </w:p>
        </w:tc>
      </w:tr>
      <w:tr>
        <w:trPr/>
        <w:tc>
          <w:tcPr>
            <w:tcW w:w="816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</w:tr>
      <w:tr>
        <w:trPr/>
        <w:tc>
          <w:tcPr>
            <w:tcW w:w="816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2.2.</w:t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Комплекс процессных мероприятий «Создание условий для легкого старта и комфортного ведения бизнеса»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Федеральный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816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24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Исполнитель «Комитет по управлению муниципальным имуществом города Новокузнецка» </w:t>
            </w:r>
          </w:p>
        </w:tc>
        <w:tc>
          <w:tcPr>
            <w:tcW w:w="11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8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f1"/>
        <w:tblW w:w="1478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393"/>
        <w:gridCol w:w="7392"/>
      </w:tblGrid>
      <w:tr>
        <w:trPr/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Заместитель Главы города</w:t>
              <w:br/>
              <w:t>по экономическим вопросам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И.С. Прошунина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rPr>
          <w:rFonts w:ascii="Times New Roman" w:hAnsi="Times New Roman" w:eastAsia="Calibri"/>
          <w:szCs w:val="24"/>
          <w:lang w:eastAsia="en-US"/>
        </w:rPr>
      </w:pPr>
      <w:r>
        <w:rPr>
          <w:rFonts w:eastAsia="Calibri" w:ascii="Times New Roman" w:hAnsi="Times New Roman"/>
          <w:szCs w:val="24"/>
          <w:lang w:eastAsia="en-US"/>
        </w:rPr>
      </w:r>
      <w:r>
        <w:br w:type="page"/>
      </w:r>
    </w:p>
    <w:p>
      <w:pPr>
        <w:pStyle w:val="ListParagraph"/>
        <w:spacing w:lineRule="auto" w:line="240" w:before="0" w:after="0"/>
        <w:ind w:left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</w:t>
      </w:r>
    </w:p>
    <w:p>
      <w:pPr>
        <w:pStyle w:val="ListParagraph"/>
        <w:spacing w:lineRule="auto" w:line="240" w:before="0" w:after="0"/>
        <w:ind w:left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 Новокузнецкого</w:t>
        <w:br/>
        <w:t>городского округа «Развитие субъектов малого</w:t>
        <w:br/>
        <w:t>и среднего предпринимательства</w:t>
        <w:br/>
        <w:t>в Новокузнецком городском округе»</w:t>
      </w:r>
    </w:p>
    <w:p>
      <w:pPr>
        <w:pStyle w:val="Normal"/>
        <w:spacing w:before="360"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  <w:br/>
        <w:t>комплекса процессных мероприятий «Поддержка субъектов малого и среднего предпринимательства</w:t>
        <w:br/>
        <w:t>на территории Новокузнецкого городского округа»</w:t>
      </w:r>
    </w:p>
    <w:p>
      <w:pPr>
        <w:pStyle w:val="Normal"/>
        <w:spacing w:before="240"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 Общие положения</w:t>
      </w:r>
    </w:p>
    <w:tbl>
      <w:tblPr>
        <w:tblStyle w:val="af1"/>
        <w:tblW w:w="14992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7392"/>
        <w:gridCol w:w="7599"/>
      </w:tblGrid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Ответственный орган местного самоуправления Новокузнецкого городского округа 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Управление потребительского рынка и развития предпринимательства администрации города Новокузнецка (далее – Управление)</w:t>
            </w:r>
          </w:p>
        </w:tc>
      </w:tr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pacing w:lineRule="auto" w:line="276"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Связь с муниципальной программой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0" w:leader="none"/>
              </w:tabs>
              <w:spacing w:before="12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Муниципальная программа Новокузнецкого городского округа «Развитие субъектов малого и среднего предпринимательства в Новокузнецком городском округе»</w:t>
            </w:r>
          </w:p>
        </w:tc>
      </w:tr>
    </w:tbl>
    <w:p>
      <w:pPr>
        <w:pStyle w:val="Normal"/>
        <w:spacing w:before="360" w:after="120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Принятое сокращение:</w:t>
      </w:r>
    </w:p>
    <w:p>
      <w:pPr>
        <w:pStyle w:val="Normal"/>
        <w:spacing w:lineRule="auto" w:line="27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– муниципальная программа Новокузнецкого городского округа.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>Раздел 2. Показатели комплекса процессных мероприятий</w:t>
      </w:r>
      <w:r>
        <w:rPr>
          <w:rFonts w:ascii="Times New Roman" w:hAnsi="Times New Roman"/>
          <w:szCs w:val="24"/>
        </w:rPr>
        <w:t>.</w:t>
      </w:r>
    </w:p>
    <w:tbl>
      <w:tblPr>
        <w:tblW w:w="15088" w:type="dxa"/>
        <w:jc w:val="left"/>
        <w:tblInd w:w="67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629"/>
        <w:gridCol w:w="2127"/>
        <w:gridCol w:w="1349"/>
        <w:gridCol w:w="1135"/>
        <w:gridCol w:w="1276"/>
        <w:gridCol w:w="1343"/>
        <w:gridCol w:w="783"/>
        <w:gridCol w:w="991"/>
        <w:gridCol w:w="993"/>
        <w:gridCol w:w="993"/>
        <w:gridCol w:w="991"/>
        <w:gridCol w:w="851"/>
        <w:gridCol w:w="1626"/>
      </w:tblGrid>
      <w:tr>
        <w:trPr>
          <w:trHeight w:val="998" w:hRule="atLeast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</w:t>
            </w:r>
            <w:r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Признак возрастания/убывания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Условное обозначение единицы измерения (по ОКЕИ)</w:t>
              <w:tab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Базовое значение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 показателя по годам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Исполнитель, ответственный за достижение показателя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2030</w:t>
            </w:r>
          </w:p>
        </w:tc>
        <w:tc>
          <w:tcPr>
            <w:tcW w:w="1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088" w:type="dxa"/>
        <w:jc w:val="left"/>
        <w:tblInd w:w="67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629"/>
        <w:gridCol w:w="2127"/>
        <w:gridCol w:w="1349"/>
        <w:gridCol w:w="1135"/>
        <w:gridCol w:w="1276"/>
        <w:gridCol w:w="1343"/>
        <w:gridCol w:w="783"/>
        <w:gridCol w:w="991"/>
        <w:gridCol w:w="993"/>
        <w:gridCol w:w="993"/>
        <w:gridCol w:w="991"/>
        <w:gridCol w:w="851"/>
        <w:gridCol w:w="1626"/>
      </w:tblGrid>
      <w:tr>
        <w:trPr>
          <w:tblHeader w:val="true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44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1. «Предоставление образовательной поддержки субъектам малого и среднего предпринимательства»</w:t>
            </w:r>
          </w:p>
        </w:tc>
      </w:tr>
      <w:tr>
        <w:trPr>
          <w:trHeight w:val="595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субъектов малого и среднего предпринимательства, получивших образовательную поддержку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Муниципальное автономное учреждение «Центр поддержки предпринимательства» (далее – Центр поддержки предпринимательства);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Управление</w:t>
            </w:r>
          </w:p>
        </w:tc>
      </w:tr>
      <w:tr>
        <w:trPr>
          <w:trHeight w:val="251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44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</w:p>
        </w:tc>
      </w:tr>
      <w:tr>
        <w:trPr>
          <w:trHeight w:val="595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субъектов малого и среднего предпринимательства, принявших участие в мероприятиях по популяризации предпринимательской деятельности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Единиц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Центр поддержки предпринимательства;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Управление</w:t>
            </w:r>
          </w:p>
        </w:tc>
      </w:tr>
      <w:tr>
        <w:trPr>
          <w:trHeight w:val="252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44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Задача 3. «Обеспечение функционирования </w:t>
            </w:r>
            <w:r>
              <w:rPr>
                <w:rFonts w:eastAsia="Calibri" w:ascii="Times New Roman" w:hAnsi="Times New Roman"/>
                <w:szCs w:val="24"/>
              </w:rPr>
              <w:t xml:space="preserve">Центра поддержки </w:t>
            </w:r>
            <w:r>
              <w:rPr>
                <w:rFonts w:ascii="Times New Roman" w:hAnsi="Times New Roman"/>
                <w:szCs w:val="24"/>
              </w:rPr>
              <w:t>предпринимательства»</w:t>
            </w:r>
          </w:p>
        </w:tc>
      </w:tr>
      <w:tr>
        <w:trPr>
          <w:trHeight w:val="595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>Количество вновь созданных субъектов малого и среднего предпринимательства из числа физических лиц, получивших поддержку Центра поддержки предпринимательства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Центр поддержки предпринимательства </w:t>
            </w:r>
          </w:p>
        </w:tc>
      </w:tr>
    </w:tbl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 Помесячный план достижения показателей комплекса процессных мероприятий в 2026 году</w:t>
      </w:r>
    </w:p>
    <w:tbl>
      <w:tblPr>
        <w:tblW w:w="15452" w:type="dxa"/>
        <w:jc w:val="left"/>
        <w:tblInd w:w="-297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545"/>
        <w:gridCol w:w="2432"/>
        <w:gridCol w:w="992"/>
        <w:gridCol w:w="1276"/>
        <w:gridCol w:w="770"/>
        <w:gridCol w:w="932"/>
        <w:gridCol w:w="709"/>
        <w:gridCol w:w="850"/>
        <w:gridCol w:w="567"/>
        <w:gridCol w:w="709"/>
        <w:gridCol w:w="850"/>
        <w:gridCol w:w="850"/>
        <w:gridCol w:w="992"/>
        <w:gridCol w:w="992"/>
        <w:gridCol w:w="992"/>
        <w:gridCol w:w="990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Условное обозначение единицы измерения (по </w:t>
            </w:r>
            <w:hyperlink r:id="rId17">
              <w:r>
                <w:rPr>
                  <w:rStyle w:val="Style4"/>
                  <w:rFonts w:cs="Times New Roman" w:ascii="Times New Roman" w:hAnsi="Times New Roman"/>
                  <w:sz w:val="24"/>
                  <w:szCs w:val="24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конец 2026 года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452" w:type="dxa"/>
        <w:jc w:val="left"/>
        <w:tblInd w:w="-297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545"/>
        <w:gridCol w:w="2432"/>
        <w:gridCol w:w="992"/>
        <w:gridCol w:w="1276"/>
        <w:gridCol w:w="770"/>
        <w:gridCol w:w="932"/>
        <w:gridCol w:w="709"/>
        <w:gridCol w:w="850"/>
        <w:gridCol w:w="567"/>
        <w:gridCol w:w="709"/>
        <w:gridCol w:w="850"/>
        <w:gridCol w:w="850"/>
        <w:gridCol w:w="992"/>
        <w:gridCol w:w="992"/>
        <w:gridCol w:w="992"/>
        <w:gridCol w:w="990"/>
      </w:tblGrid>
      <w:tr>
        <w:trPr>
          <w:tblHeader w:val="true"/>
          <w:trHeight w:val="239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>
          <w:trHeight w:val="259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9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1. «Предоставление образовательной поддержки субъектам малого и среднего предпринимательства»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субъектов малого и среднего предпринимательства получивших образовательную поддержку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9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субъектов малого и среднего предпринимательства, принявших участие в мероприятиях по популяризации предпринимательской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</w:tr>
      <w:tr>
        <w:trPr>
          <w:trHeight w:val="311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29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Задача 3. «Обеспечение функционирования </w:t>
            </w:r>
            <w:r>
              <w:rPr>
                <w:rFonts w:eastAsia="Calibri" w:ascii="Times New Roman" w:hAnsi="Times New Roman"/>
                <w:szCs w:val="24"/>
              </w:rPr>
              <w:t xml:space="preserve">Центра поддержки </w:t>
            </w:r>
            <w:r>
              <w:rPr>
                <w:rFonts w:ascii="Times New Roman" w:hAnsi="Times New Roman"/>
                <w:szCs w:val="24"/>
              </w:rPr>
              <w:t>предпринимательства»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Количество вновь созданных субъектов малого и среднего предпринимательства из числа физических лиц, получивших поддержку </w:t>
            </w:r>
            <w:r>
              <w:rPr>
                <w:rFonts w:eastAsia="Calibri" w:ascii="Times New Roman" w:hAnsi="Times New Roman"/>
                <w:szCs w:val="24"/>
              </w:rPr>
              <w:t xml:space="preserve">Центра поддержки </w:t>
            </w:r>
            <w:r>
              <w:rPr>
                <w:rFonts w:ascii="Times New Roman" w:hAnsi="Times New Roman"/>
                <w:szCs w:val="24"/>
              </w:rPr>
              <w:t>предпринимательства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240</w:t>
            </w:r>
          </w:p>
        </w:tc>
      </w:tr>
    </w:tbl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br w:type="page"/>
      </w:r>
      <w:r>
        <w:rPr>
          <w:rFonts w:ascii="Times New Roman" w:hAnsi="Times New Roman"/>
          <w:sz w:val="28"/>
          <w:szCs w:val="28"/>
        </w:rPr>
        <w:t>Раздел 4. Перечень мероприятий (результатов) комплекса процессный мероприятий</w:t>
      </w:r>
    </w:p>
    <w:tbl>
      <w:tblPr>
        <w:tblStyle w:val="af1"/>
        <w:tblW w:w="15113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817"/>
        <w:gridCol w:w="2577"/>
        <w:gridCol w:w="2258"/>
        <w:gridCol w:w="1535"/>
        <w:gridCol w:w="1173"/>
        <w:gridCol w:w="818"/>
        <w:gridCol w:w="807"/>
        <w:gridCol w:w="799"/>
        <w:gridCol w:w="801"/>
        <w:gridCol w:w="800"/>
        <w:gridCol w:w="695"/>
        <w:gridCol w:w="2032"/>
      </w:tblGrid>
      <w:tr>
        <w:trPr/>
        <w:tc>
          <w:tcPr>
            <w:tcW w:w="81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п/п</w:t>
            </w:r>
          </w:p>
        </w:tc>
        <w:tc>
          <w:tcPr>
            <w:tcW w:w="257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2258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Тип мероприятия (результата)</w:t>
            </w:r>
          </w:p>
        </w:tc>
        <w:tc>
          <w:tcPr>
            <w:tcW w:w="153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Условное обозначение единицы измерения (по ОКЕИ)</w:t>
            </w:r>
          </w:p>
        </w:tc>
        <w:tc>
          <w:tcPr>
            <w:tcW w:w="1991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Базовое значение</w:t>
            </w:r>
          </w:p>
        </w:tc>
        <w:tc>
          <w:tcPr>
            <w:tcW w:w="3902" w:type="dxa"/>
            <w:gridSpan w:val="5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2032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Связь с показателями комплекса процессных мероприятий (при наличии)</w:t>
            </w:r>
          </w:p>
        </w:tc>
      </w:tr>
      <w:tr>
        <w:trPr/>
        <w:tc>
          <w:tcPr>
            <w:tcW w:w="8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57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25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53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значение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год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2026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2027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2028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2029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2030</w:t>
            </w:r>
          </w:p>
        </w:tc>
        <w:tc>
          <w:tcPr>
            <w:tcW w:w="203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5113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817"/>
        <w:gridCol w:w="2577"/>
        <w:gridCol w:w="2258"/>
        <w:gridCol w:w="1535"/>
        <w:gridCol w:w="1173"/>
        <w:gridCol w:w="818"/>
        <w:gridCol w:w="807"/>
        <w:gridCol w:w="799"/>
        <w:gridCol w:w="801"/>
        <w:gridCol w:w="800"/>
        <w:gridCol w:w="695"/>
        <w:gridCol w:w="2032"/>
      </w:tblGrid>
      <w:tr>
        <w:trPr>
          <w:tblHeader w:val="true"/>
        </w:trPr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9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10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</w:t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</w:t>
            </w:r>
          </w:p>
        </w:tc>
      </w:tr>
      <w:tr>
        <w:trPr>
          <w:trHeight w:val="161" w:hRule="atLeast"/>
        </w:trPr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</w:t>
            </w:r>
          </w:p>
        </w:tc>
        <w:tc>
          <w:tcPr>
            <w:tcW w:w="14295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 1. «Предоставление образовательной поддержки субъектам малого и среднего предпринимательства»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bookmarkStart w:id="8" w:name="_Hlk211455588"/>
            <w:bookmarkEnd w:id="8"/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Наименование мероприятия «Проведение образовательных мероприятий по поддержке субъектов малого и среднего предпринимательства» 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Осуществление текущей деятельности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Количество субъектов малого и среднего предпринимательства получивших образовательную поддержку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1.1.1.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Проведены образовательные мероприятия на базе </w:t>
            </w: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предпринимательства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Единиц</w:t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75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75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75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75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ConsPlusNormal1"/>
              <w:spacing w:before="0" w:after="0"/>
              <w:ind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bookmarkStart w:id="9" w:name="_Hlk211455588"/>
            <w:bookmarkEnd w:id="9"/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</w:t>
            </w:r>
          </w:p>
        </w:tc>
        <w:tc>
          <w:tcPr>
            <w:tcW w:w="14295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  <w:bookmarkStart w:id="10" w:name="_Hlk211375029"/>
            <w:bookmarkEnd w:id="10"/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«Проведение конкурсов по популяризации предпринимательской деятельности»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Осуществление текущей деятельности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Количество субъектов малого и среднего предпринимательства, принявших участие в мероприятиях по популяризации предпринимательской деятельности</w:t>
            </w:r>
          </w:p>
        </w:tc>
      </w:tr>
      <w:tr>
        <w:trPr>
          <w:trHeight w:val="587" w:hRule="atLeast"/>
        </w:trPr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2.1.1.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Проведены мероприятия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Единиц</w:t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</w:t>
            </w:r>
          </w:p>
        </w:tc>
        <w:tc>
          <w:tcPr>
            <w:tcW w:w="14295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Задача 3. «Обеспечение функционирования </w:t>
            </w: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предпринимательства»</w:t>
            </w:r>
          </w:p>
        </w:tc>
      </w:tr>
      <w:tr>
        <w:trPr>
          <w:trHeight w:val="1873" w:hRule="atLeast"/>
        </w:trPr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Наименование мероприятия «Обеспечение деятельности </w:t>
            </w: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предпринимательства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Оказание услуг (выполнение работ)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Количество вновь созданных субъектов малого и среднего предпринимательства из числа физических лиц, получивших поддержку </w:t>
            </w: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предпринимательства</w:t>
            </w:r>
          </w:p>
        </w:tc>
      </w:tr>
      <w:tr>
        <w:trPr>
          <w:trHeight w:val="850" w:hRule="atLeast"/>
        </w:trPr>
        <w:tc>
          <w:tcPr>
            <w:tcW w:w="81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3.1.1.</w:t>
            </w:r>
          </w:p>
        </w:tc>
        <w:tc>
          <w:tcPr>
            <w:tcW w:w="25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Содержание </w:t>
            </w: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предпринимательства, в том числе оплата заработной платы, налогов</w:t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Человек</w:t>
            </w:r>
          </w:p>
        </w:tc>
        <w:tc>
          <w:tcPr>
            <w:tcW w:w="117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</w:t>
            </w:r>
          </w:p>
        </w:tc>
        <w:tc>
          <w:tcPr>
            <w:tcW w:w="81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</w:t>
            </w:r>
          </w:p>
        </w:tc>
        <w:tc>
          <w:tcPr>
            <w:tcW w:w="7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</w:t>
            </w:r>
          </w:p>
        </w:tc>
        <w:tc>
          <w:tcPr>
            <w:tcW w:w="80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15</w:t>
            </w:r>
          </w:p>
        </w:tc>
        <w:tc>
          <w:tcPr>
            <w:tcW w:w="80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03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</w:tbl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5. Финансовое обеспечение комплекса процессных мероприятий</w:t>
      </w:r>
    </w:p>
    <w:tbl>
      <w:tblPr>
        <w:tblStyle w:val="af1"/>
        <w:tblW w:w="15158" w:type="dxa"/>
        <w:jc w:val="left"/>
        <w:tblInd w:w="7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97"/>
        <w:gridCol w:w="6390"/>
        <w:gridCol w:w="1419"/>
        <w:gridCol w:w="1416"/>
        <w:gridCol w:w="1472"/>
        <w:gridCol w:w="1215"/>
        <w:gridCol w:w="1275"/>
        <w:gridCol w:w="1272"/>
      </w:tblGrid>
      <w:tr>
        <w:trPr/>
        <w:tc>
          <w:tcPr>
            <w:tcW w:w="69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п/п</w:t>
            </w:r>
          </w:p>
        </w:tc>
        <w:tc>
          <w:tcPr>
            <w:tcW w:w="6390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8069" w:type="dxa"/>
            <w:gridSpan w:val="6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28" w:hRule="atLeast"/>
        </w:trPr>
        <w:tc>
          <w:tcPr>
            <w:tcW w:w="69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2026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2027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2028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2029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2030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Всего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5158" w:type="dxa"/>
        <w:jc w:val="left"/>
        <w:tblInd w:w="7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97"/>
        <w:gridCol w:w="6390"/>
        <w:gridCol w:w="1419"/>
        <w:gridCol w:w="1416"/>
        <w:gridCol w:w="1472"/>
        <w:gridCol w:w="1215"/>
        <w:gridCol w:w="1275"/>
        <w:gridCol w:w="1272"/>
      </w:tblGrid>
      <w:tr>
        <w:trPr>
          <w:tblHeader w:val="true"/>
          <w:trHeight w:val="228" w:hRule="atLeast"/>
        </w:trPr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</w:t>
            </w:r>
          </w:p>
        </w:tc>
      </w:tr>
      <w:tr>
        <w:trPr/>
        <w:tc>
          <w:tcPr>
            <w:tcW w:w="697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Комплекс процессных мероприятий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«Поддержка субъектов малого и среднего предпринимательства на территории Новокузнецкого городского округа», в т.ч.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12 503,8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36 241,6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12 103,8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35 841,6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Исполнитель «Комитет по управлению муниципальным имуществом города Новокузнецка»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12 503,8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36 241,6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12 103,8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35 841,6</w:t>
            </w:r>
          </w:p>
        </w:tc>
      </w:tr>
      <w:tr>
        <w:trPr/>
        <w:tc>
          <w:tcPr>
            <w:tcW w:w="697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1.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 1. «Предоставление образовательной поддержки субъектам малого и среднего предпринимательства»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938" w:leader="none"/>
              </w:tabs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1.1.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Мероприятие (результат) «Проведение образовательных мероприятия по поддержке субъектов малого и среднего предпринимательства»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«Комитет по управлению муниципальным имуществом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2.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2.1.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Мероприятие (результат) «Проведение конкурсов по популяризации предпринимательской деятельности»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«Комитет по управлению муниципальным имуществом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3.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Задача 3. «Обеспечение функционирования </w:t>
            </w: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предпринимательства»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3.1.</w:t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Мероприятие (результат) «Обеспечение деятельности </w:t>
            </w: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предпринимательства»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12 503,8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36 241,6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12 103,8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35 841,6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«Комитет по управлению муниципальным имуществом города Новокузнецка»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12 503,8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36 241,6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7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12 103,8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11 743,9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11 993,9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35 841,6</w:t>
            </w:r>
          </w:p>
        </w:tc>
      </w:tr>
      <w:tr>
        <w:trPr/>
        <w:tc>
          <w:tcPr>
            <w:tcW w:w="697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639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400,0  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400,0</w:t>
            </w:r>
          </w:p>
        </w:tc>
      </w:tr>
    </w:tbl>
    <w:p>
      <w:pPr>
        <w:pStyle w:val="Normal"/>
        <w:spacing w:lineRule="auto" w:line="276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6. План реализации комплекса процессных мероприятий</w:t>
      </w:r>
    </w:p>
    <w:tbl>
      <w:tblPr>
        <w:tblStyle w:val="af1"/>
        <w:tblW w:w="14736" w:type="dxa"/>
        <w:jc w:val="left"/>
        <w:tblInd w:w="7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096"/>
        <w:gridCol w:w="3030"/>
        <w:gridCol w:w="2944"/>
        <w:gridCol w:w="2665"/>
      </w:tblGrid>
      <w:tr>
        <w:trPr/>
        <w:tc>
          <w:tcPr>
            <w:tcW w:w="60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Задача, мероприятие (результат) / контрольная точка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Дата наступления контрольной точки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Исполнитель, ответственный за реализацию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Вид документа, подтверждающего факт достижения контрольной точки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4736" w:type="dxa"/>
        <w:jc w:val="left"/>
        <w:tblInd w:w="79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096"/>
        <w:gridCol w:w="3030"/>
        <w:gridCol w:w="2944"/>
        <w:gridCol w:w="2665"/>
      </w:tblGrid>
      <w:tr>
        <w:trPr>
          <w:tblHeader w:val="true"/>
        </w:trPr>
        <w:tc>
          <w:tcPr>
            <w:tcW w:w="60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</w:tr>
      <w:tr>
        <w:trPr/>
        <w:tc>
          <w:tcPr>
            <w:tcW w:w="12070" w:type="dxa"/>
            <w:gridSpan w:val="3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 1. «Предоставление образовательной поддержки субъектам малого и среднего предпринимательства»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Мероприятие (результат) 1 «Проведение образовательных мероприятия по поддержке субъектов малого и среднего предпринимательства»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Управление;</w:t>
            </w:r>
          </w:p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предпринимательства 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Контрольная точка 1.1.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Не предусмотрена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12070" w:type="dxa"/>
            <w:gridSpan w:val="3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 2. «Популяризация предпринимательской деятельности субъектов малого и среднего предпринимательства»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Мероприятие (результат) 2 «Проведение конкурсов по популяризации предпринимательской деятельности»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Управление;</w:t>
            </w:r>
          </w:p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предпринимательства 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0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Контрольная точка 2.1.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Не предусмотрена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>
          <w:trHeight w:val="249" w:hRule="atLeast"/>
        </w:trPr>
        <w:tc>
          <w:tcPr>
            <w:tcW w:w="12070" w:type="dxa"/>
            <w:gridSpan w:val="3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Задача 3. «Обеспечение функционирования </w:t>
            </w: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предпринимательства»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>
          <w:trHeight w:val="940" w:hRule="atLeast"/>
        </w:trPr>
        <w:tc>
          <w:tcPr>
            <w:tcW w:w="609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Мероприятие (результат) 3 «Обеспечение функционирования </w:t>
            </w: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предпринимательства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Комитет по управлению муниципальным имуществом города Новокузнецка (далее – КУМИ)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>
          <w:trHeight w:val="220" w:hRule="atLeast"/>
        </w:trPr>
        <w:tc>
          <w:tcPr>
            <w:tcW w:w="6096" w:type="dxa"/>
            <w:tcBorders/>
          </w:tcPr>
          <w:p>
            <w:pPr>
              <w:pStyle w:val="ConsPlusNormal1"/>
              <w:spacing w:before="0" w:after="0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Контрольная точка 3.1. Муниципальное задание на оказание муниципальных услуг (выполнение работ) утверждено (размещено) в государственной информационной системе государственных (муниципальных) услуг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https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://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bus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gov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ru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 января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КУМИ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Приказ КУМИ о муниципальном задании</w:t>
            </w:r>
          </w:p>
        </w:tc>
      </w:tr>
      <w:tr>
        <w:trPr>
          <w:trHeight w:val="1200" w:hRule="atLeast"/>
        </w:trPr>
        <w:tc>
          <w:tcPr>
            <w:tcW w:w="6096" w:type="dxa"/>
            <w:tcBorders/>
          </w:tcPr>
          <w:p>
            <w:pPr>
              <w:pStyle w:val="ConsPlusNormal1"/>
              <w:spacing w:before="0" w:after="0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Контрольная точка 3.2.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 (включено в реестр соглашений)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21 января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КУМИ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Соглашение между КУМИ и </w:t>
            </w: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Центра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предпринимательства о предоставлении субсидии на выполнение муниципального задания (выполнения работ)</w:t>
            </w:r>
          </w:p>
        </w:tc>
      </w:tr>
      <w:tr>
        <w:trPr>
          <w:trHeight w:val="1200" w:hRule="atLeast"/>
        </w:trPr>
        <w:tc>
          <w:tcPr>
            <w:tcW w:w="6096" w:type="dxa"/>
            <w:tcBorders/>
          </w:tcPr>
          <w:p>
            <w:pPr>
              <w:pStyle w:val="ConsPlusNormal1"/>
              <w:spacing w:before="0" w:after="0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Контрольная точка 3.3. Услуга оказана (работы выполнены)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10 октября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предпринимательства 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Отчет о выполнении муниципального задания</w:t>
            </w:r>
          </w:p>
        </w:tc>
      </w:tr>
      <w:tr>
        <w:trPr>
          <w:trHeight w:val="1200" w:hRule="atLeast"/>
        </w:trPr>
        <w:tc>
          <w:tcPr>
            <w:tcW w:w="6096" w:type="dxa"/>
            <w:tcBorders/>
          </w:tcPr>
          <w:p>
            <w:pPr>
              <w:pStyle w:val="ConsPlusNormal1"/>
              <w:spacing w:before="0" w:after="0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Контрольная точка 3.4. Представлен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303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31 декабря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Центр поддержки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предпринимательства 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Отчет о выполнении муниципального задания</w:t>
            </w:r>
          </w:p>
        </w:tc>
      </w:tr>
    </w:tbl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ListParagraph"/>
        <w:spacing w:lineRule="auto" w:line="240" w:before="0" w:after="0"/>
        <w:ind w:left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>
      <w:pPr>
        <w:pStyle w:val="ListParagraph"/>
        <w:spacing w:lineRule="auto" w:line="240" w:before="0" w:after="0"/>
        <w:ind w:left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 Новокузнецкого</w:t>
        <w:br/>
        <w:t>городского округа «Развитие субъектов малого</w:t>
        <w:br/>
        <w:t>и среднего предпринимательства</w:t>
        <w:br/>
        <w:t>в Новокузнецком городском округе»</w:t>
      </w:r>
    </w:p>
    <w:p>
      <w:pPr>
        <w:pStyle w:val="Normal"/>
        <w:spacing w:before="360"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  <w:br/>
        <w:t>комплекса процессных мероприятий «Создание условий для легкого старта и комфортного ведения бизнеса»</w:t>
      </w:r>
    </w:p>
    <w:p>
      <w:pPr>
        <w:pStyle w:val="Normal"/>
        <w:spacing w:before="240"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 Общие положения</w:t>
      </w:r>
    </w:p>
    <w:tbl>
      <w:tblPr>
        <w:tblStyle w:val="af1"/>
        <w:tblW w:w="14992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7392"/>
        <w:gridCol w:w="7599"/>
      </w:tblGrid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Ответственный орган местного самоуправления Новокузнецкого городского округа 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Управление потребительского рынка и развития предпринимательства администрации города Новокузнецка (далее – Управление)</w:t>
            </w:r>
          </w:p>
        </w:tc>
      </w:tr>
      <w:tr>
        <w:trPr/>
        <w:tc>
          <w:tcPr>
            <w:tcW w:w="73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Связь с муниципальной программой</w:t>
            </w:r>
          </w:p>
        </w:tc>
        <w:tc>
          <w:tcPr>
            <w:tcW w:w="7599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0" w:leader="none"/>
              </w:tabs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Муниципальная программа Новокузнецкого городского округа «Развитие субъектов малого и среднего предпринимательства в Новокузнецком городском округе»</w:t>
            </w:r>
          </w:p>
        </w:tc>
      </w:tr>
    </w:tbl>
    <w:p>
      <w:pPr>
        <w:pStyle w:val="Normal"/>
        <w:spacing w:before="360" w:after="120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Принятое сокращение:</w:t>
      </w:r>
    </w:p>
    <w:p>
      <w:pPr>
        <w:pStyle w:val="Normal"/>
        <w:spacing w:lineRule="auto" w:line="27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 – муниципальная программа Новокузнецкого городского округа.</w:t>
      </w:r>
    </w:p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 Показатели комплекса процессных мероприятий</w:t>
      </w:r>
    </w:p>
    <w:tbl>
      <w:tblPr>
        <w:tblW w:w="15021" w:type="dxa"/>
        <w:jc w:val="left"/>
        <w:tblInd w:w="-13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623"/>
        <w:gridCol w:w="2983"/>
        <w:gridCol w:w="850"/>
        <w:gridCol w:w="926"/>
        <w:gridCol w:w="1275"/>
        <w:gridCol w:w="1344"/>
        <w:gridCol w:w="783"/>
        <w:gridCol w:w="991"/>
        <w:gridCol w:w="993"/>
        <w:gridCol w:w="993"/>
        <w:gridCol w:w="991"/>
        <w:gridCol w:w="852"/>
        <w:gridCol w:w="1416"/>
      </w:tblGrid>
      <w:tr>
        <w:trPr>
          <w:trHeight w:val="998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</w:t>
            </w:r>
            <w:r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Признак возрастания/убывания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Условное обозначение единицы измерения (по ОКЕИ)</w:t>
              <w:tab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Базовое значение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 показателя по годам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Исполнитель, ответственный за достижение показателя</w:t>
            </w:r>
          </w:p>
        </w:tc>
      </w:tr>
      <w:tr>
        <w:trPr/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2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значение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2030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021" w:type="dxa"/>
        <w:jc w:val="left"/>
        <w:tblInd w:w="-13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623"/>
        <w:gridCol w:w="2983"/>
        <w:gridCol w:w="850"/>
        <w:gridCol w:w="926"/>
        <w:gridCol w:w="1275"/>
        <w:gridCol w:w="1344"/>
        <w:gridCol w:w="783"/>
        <w:gridCol w:w="991"/>
        <w:gridCol w:w="993"/>
        <w:gridCol w:w="993"/>
        <w:gridCol w:w="991"/>
        <w:gridCol w:w="852"/>
        <w:gridCol w:w="1416"/>
      </w:tblGrid>
      <w:tr>
        <w:trPr>
          <w:tblHeader w:val="true"/>
          <w:trHeight w:val="203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43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Задача 1. «Имущественная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предпринимательства»</w:t>
            </w:r>
          </w:p>
        </w:tc>
      </w:tr>
      <w:tr>
        <w:trPr>
          <w:trHeight w:val="595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Доля площади объектов, фактически переданной в пользование на долгосрочной основе субъектам малого и среднего предпринимательства, организациям, образующим инфраструктуру поддержки малого и среднего предпринимательства, от общей площади объектов, включенных в перечень муниципального имущества, предназначенного для передачи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Комитет по управлению муниципальным имуществом города Новокузнецка (далее – КУМИ)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43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>Задача 2. «Консультационная поддержка субъектов малого и среднего предпринимательства»</w:t>
            </w:r>
          </w:p>
        </w:tc>
      </w:tr>
      <w:tr>
        <w:trPr>
          <w:trHeight w:val="595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Количество </w:t>
            </w:r>
            <w:r>
              <w:rPr>
                <w:rFonts w:eastAsia="Calibri" w:ascii="Times New Roman" w:hAnsi="Times New Roman"/>
                <w:bCs/>
                <w:szCs w:val="24"/>
                <w:lang w:eastAsia="en-US"/>
              </w:rPr>
              <w:t xml:space="preserve">информационно-консультационных услуг, оказанных </w:t>
            </w:r>
            <w:r>
              <w:rPr>
                <w:rFonts w:ascii="Times New Roman" w:hAnsi="Times New Roman"/>
                <w:szCs w:val="24"/>
              </w:rPr>
              <w:t xml:space="preserve">субъектам малого и среднего предпринимательства, </w:t>
            </w:r>
            <w:r>
              <w:rPr>
                <w:rFonts w:eastAsia="Calibri" w:ascii="Times New Roman" w:hAnsi="Times New Roman"/>
                <w:bCs/>
                <w:szCs w:val="24"/>
                <w:lang w:eastAsia="en-US"/>
              </w:rPr>
              <w:t xml:space="preserve">юридическим лицам, не являющимся субъектами малого и среднего предпринимательства, физическим лицам в муниципальном автономном учреждении «Центр поддержки предпринимательства» </w:t>
            </w:r>
            <w:r>
              <w:rPr>
                <w:rFonts w:ascii="Times New Roman" w:hAnsi="Times New Roman"/>
                <w:szCs w:val="24"/>
              </w:rPr>
              <w:t>(далее – Центр поддержки предпринимательства)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возрастание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3373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szCs w:val="24"/>
              </w:rPr>
              <w:t xml:space="preserve">Центр поддержки </w:t>
            </w:r>
            <w:r>
              <w:rPr>
                <w:rFonts w:ascii="Times New Roman" w:hAnsi="Times New Roman"/>
                <w:szCs w:val="24"/>
              </w:rPr>
              <w:t>предпринимательства;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Управление</w:t>
            </w:r>
            <w:bookmarkStart w:id="11" w:name="_Hlk211455031"/>
            <w:bookmarkEnd w:id="11"/>
          </w:p>
        </w:tc>
      </w:tr>
    </w:tbl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 Помесячный план достижения показателей комплекса процессных мероприятий в 2026 году</w:t>
      </w:r>
    </w:p>
    <w:tbl>
      <w:tblPr>
        <w:tblW w:w="15536" w:type="dxa"/>
        <w:jc w:val="left"/>
        <w:tblInd w:w="-297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568"/>
        <w:gridCol w:w="2433"/>
        <w:gridCol w:w="850"/>
        <w:gridCol w:w="1275"/>
        <w:gridCol w:w="771"/>
        <w:gridCol w:w="789"/>
        <w:gridCol w:w="850"/>
        <w:gridCol w:w="850"/>
        <w:gridCol w:w="710"/>
        <w:gridCol w:w="708"/>
        <w:gridCol w:w="850"/>
        <w:gridCol w:w="993"/>
        <w:gridCol w:w="993"/>
        <w:gridCol w:w="991"/>
        <w:gridCol w:w="993"/>
        <w:gridCol w:w="908"/>
      </w:tblGrid>
      <w:tr>
        <w:trPr/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Условное обозначение единицы измерения (по </w:t>
            </w:r>
            <w:hyperlink r:id="rId18">
              <w:r>
                <w:rPr>
                  <w:rStyle w:val="Style4"/>
                  <w:rFonts w:cs="Times New Roman" w:ascii="Times New Roman" w:hAnsi="Times New Roman"/>
                  <w:sz w:val="24"/>
                  <w:szCs w:val="24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конец 2026 года</w:t>
            </w:r>
          </w:p>
        </w:tc>
      </w:tr>
      <w:tr>
        <w:trPr/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536" w:type="dxa"/>
        <w:jc w:val="left"/>
        <w:tblInd w:w="-297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/>
      </w:tblPr>
      <w:tblGrid>
        <w:gridCol w:w="568"/>
        <w:gridCol w:w="2433"/>
        <w:gridCol w:w="850"/>
        <w:gridCol w:w="1275"/>
        <w:gridCol w:w="771"/>
        <w:gridCol w:w="789"/>
        <w:gridCol w:w="850"/>
        <w:gridCol w:w="850"/>
        <w:gridCol w:w="710"/>
        <w:gridCol w:w="708"/>
        <w:gridCol w:w="850"/>
        <w:gridCol w:w="993"/>
        <w:gridCol w:w="993"/>
        <w:gridCol w:w="991"/>
        <w:gridCol w:w="993"/>
        <w:gridCol w:w="908"/>
      </w:tblGrid>
      <w:tr>
        <w:trPr>
          <w:tblHeader w:val="true"/>
          <w:trHeight w:val="23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>
          <w:trHeight w:val="414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9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1. «Имущественная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предпринимательства»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Доля площади объектов, фактически переданной в пользование на долгосрочной основе субъектам малого и среднего предпринимательства, организациям, образующим инфраструктуру поддержки малого и среднего предпринимательства, от общей площади объектов, включенных в перечень муниципального имущества, предназначенного для передачи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9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2. «Консультационная поддержка субъектов малого и среднего предпринимательства»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</w:t>
            </w:r>
            <w:bookmarkStart w:id="12" w:name="_Hlk211456372"/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en-US"/>
              </w:rPr>
              <w:t xml:space="preserve">информационно-консультационных </w:t>
            </w:r>
            <w:bookmarkEnd w:id="12"/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en-US"/>
              </w:rPr>
              <w:t xml:space="preserve">услуг, оказанных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субъектам малого и среднего предпринимательства, </w:t>
            </w: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eastAsia="en-US"/>
              </w:rPr>
              <w:t>юридическим лицам, не являющимся субъектами малого и среднего предпринимательства, физическим лицам в Центре поддержки предпринимательства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2400</w:t>
            </w:r>
          </w:p>
        </w:tc>
      </w:tr>
    </w:tbl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 Перечень мероприятий (результатов) комплекса процессный мероприятий</w:t>
      </w:r>
    </w:p>
    <w:tbl>
      <w:tblPr>
        <w:tblStyle w:val="af1"/>
        <w:tblW w:w="15310" w:type="dxa"/>
        <w:jc w:val="left"/>
        <w:tblInd w:w="-6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851"/>
        <w:gridCol w:w="2126"/>
        <w:gridCol w:w="2127"/>
        <w:gridCol w:w="1558"/>
        <w:gridCol w:w="1135"/>
        <w:gridCol w:w="992"/>
        <w:gridCol w:w="851"/>
        <w:gridCol w:w="850"/>
        <w:gridCol w:w="851"/>
        <w:gridCol w:w="850"/>
        <w:gridCol w:w="851"/>
        <w:gridCol w:w="2267"/>
      </w:tblGrid>
      <w:tr>
        <w:trPr/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№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br/>
              <w:t>п/п</w:t>
            </w:r>
          </w:p>
        </w:tc>
        <w:tc>
          <w:tcPr>
            <w:tcW w:w="212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212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Тип мероприятия (результата)</w:t>
            </w:r>
          </w:p>
        </w:tc>
        <w:tc>
          <w:tcPr>
            <w:tcW w:w="1558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Условное обозначение единицы измерения (по ОКЕИ)</w:t>
            </w:r>
          </w:p>
        </w:tc>
        <w:tc>
          <w:tcPr>
            <w:tcW w:w="2127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Базовое значение</w:t>
            </w:r>
          </w:p>
        </w:tc>
        <w:tc>
          <w:tcPr>
            <w:tcW w:w="4253" w:type="dxa"/>
            <w:gridSpan w:val="5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Связь с показателями комплекса процессных мероприятий (при наличии)</w:t>
            </w:r>
          </w:p>
        </w:tc>
      </w:tr>
      <w:tr>
        <w:trPr/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значение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год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2026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2030</w:t>
            </w:r>
          </w:p>
        </w:tc>
        <w:tc>
          <w:tcPr>
            <w:tcW w:w="226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5310" w:type="dxa"/>
        <w:jc w:val="left"/>
        <w:tblInd w:w="-6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851"/>
        <w:gridCol w:w="2126"/>
        <w:gridCol w:w="2127"/>
        <w:gridCol w:w="1558"/>
        <w:gridCol w:w="1135"/>
        <w:gridCol w:w="992"/>
        <w:gridCol w:w="851"/>
        <w:gridCol w:w="850"/>
        <w:gridCol w:w="851"/>
        <w:gridCol w:w="850"/>
        <w:gridCol w:w="851"/>
        <w:gridCol w:w="2267"/>
      </w:tblGrid>
      <w:tr>
        <w:trPr>
          <w:tblHeader w:val="true"/>
        </w:trPr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11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12</w:t>
            </w:r>
          </w:p>
        </w:tc>
      </w:tr>
      <w:tr>
        <w:trPr>
          <w:trHeight w:val="161" w:hRule="atLeast"/>
        </w:trPr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</w:t>
            </w:r>
          </w:p>
        </w:tc>
        <w:tc>
          <w:tcPr>
            <w:tcW w:w="14458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 1. «Имущественная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предпринимательства»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1.1.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«Проведение мероприятий по имущественной поддержке субъектов малого и среднего предпринимательства»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Осуществление текущей деятельности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Доля площади объектов, фактически переданной в пользование на долгосрочной основе субъектам малого и среднего предпринимательства, организациям, образующим инфраструктуру поддержки малого и среднего предпринимательства, от общей площади объектов, включенных в перечень муниципального имущества, предназначенного для передачи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1.1.1.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Предоставлено субъектам малого и среднего предпринимательства имущественная поддержки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Единиц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72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  <w:bookmarkStart w:id="13" w:name="_Hlk211456075"/>
            <w:bookmarkStart w:id="14" w:name="_Hlk211456075"/>
            <w:bookmarkEnd w:id="14"/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</w:t>
            </w:r>
          </w:p>
        </w:tc>
        <w:tc>
          <w:tcPr>
            <w:tcW w:w="14458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 2 «Консультационная поддержка субъектов малого и среднего предпринимательства»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2.1.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Наименование мероприятия «Проведение </w:t>
            </w:r>
            <w:r>
              <w:rPr>
                <w:rFonts w:eastAsia="Calibri" w:ascii="Times New Roman" w:hAnsi="Times New Roman"/>
                <w:bCs/>
                <w:kern w:val="0"/>
                <w:sz w:val="20"/>
                <w:szCs w:val="24"/>
                <w:lang w:val="ru-RU" w:eastAsia="en-US" w:bidi="ar-SA"/>
              </w:rPr>
              <w:t>информационно-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консультационных мероприятий по поддержке субъектов малого и среднего предпринимательства»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Осуществление текущей деятельности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trike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Количество </w:t>
            </w:r>
            <w:r>
              <w:rPr>
                <w:rFonts w:eastAsia="Calibri" w:ascii="Times New Roman" w:hAnsi="Times New Roman"/>
                <w:bCs/>
                <w:kern w:val="0"/>
                <w:sz w:val="20"/>
                <w:szCs w:val="24"/>
                <w:lang w:val="ru-RU" w:eastAsia="en-US" w:bidi="ar-SA"/>
              </w:rPr>
              <w:t xml:space="preserve">информационно-консультационных услуг, оказанных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субъектам малого и среднего предпринимательства, </w:t>
            </w:r>
            <w:r>
              <w:rPr>
                <w:rFonts w:eastAsia="Calibri" w:ascii="Times New Roman" w:hAnsi="Times New Roman"/>
                <w:bCs/>
                <w:kern w:val="0"/>
                <w:sz w:val="20"/>
                <w:szCs w:val="24"/>
                <w:lang w:val="ru-RU" w:eastAsia="en-US" w:bidi="ar-SA"/>
              </w:rPr>
              <w:t>юридическим лицам, не являющимся субъектами малого и среднего предпринимательства, физическим лицам в Центре поддержки предпринимательства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2.1.1.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Информирование и консультирование субъектов малого и среднего предпринимательства по общим вопросам ведения предпринимательской деятельности, кроме решения правовых и налоговых вопросов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Единиц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500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2025</w:t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консультирование субъектов малого и среднего предпринимательства по правовым, налоговым вопросам не ведется</w:t>
            </w:r>
            <w:bookmarkStart w:id="15" w:name="_Hlk211456173"/>
            <w:bookmarkEnd w:id="15"/>
          </w:p>
        </w:tc>
      </w:tr>
    </w:tbl>
    <w:p>
      <w:pPr>
        <w:pStyle w:val="Normal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5. Финансовое обеспечение комплекса процессных мероприятий</w:t>
      </w:r>
    </w:p>
    <w:tbl>
      <w:tblPr>
        <w:tblStyle w:val="af1"/>
        <w:tblW w:w="14220" w:type="dxa"/>
        <w:jc w:val="left"/>
        <w:tblInd w:w="36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95"/>
        <w:gridCol w:w="5972"/>
        <w:gridCol w:w="1135"/>
        <w:gridCol w:w="1179"/>
        <w:gridCol w:w="1470"/>
        <w:gridCol w:w="1216"/>
        <w:gridCol w:w="1274"/>
        <w:gridCol w:w="1277"/>
      </w:tblGrid>
      <w:tr>
        <w:trPr/>
        <w:tc>
          <w:tcPr>
            <w:tcW w:w="69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п/п</w:t>
            </w:r>
          </w:p>
        </w:tc>
        <w:tc>
          <w:tcPr>
            <w:tcW w:w="5972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7551" w:type="dxa"/>
            <w:gridSpan w:val="6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Объем финансового обеспечения по годам, тыс. рублей</w:t>
            </w:r>
          </w:p>
        </w:tc>
      </w:tr>
      <w:tr>
        <w:trPr>
          <w:trHeight w:val="228" w:hRule="atLeast"/>
        </w:trPr>
        <w:tc>
          <w:tcPr>
            <w:tcW w:w="69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2026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2027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en-US" w:bidi="ar-SA"/>
              </w:rPr>
              <w:t>2028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2029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2030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Всего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Style w:val="af1"/>
        <w:tblW w:w="14220" w:type="dxa"/>
        <w:jc w:val="left"/>
        <w:tblInd w:w="36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95"/>
        <w:gridCol w:w="5972"/>
        <w:gridCol w:w="1135"/>
        <w:gridCol w:w="1179"/>
        <w:gridCol w:w="1470"/>
        <w:gridCol w:w="1216"/>
        <w:gridCol w:w="1274"/>
        <w:gridCol w:w="1277"/>
      </w:tblGrid>
      <w:tr>
        <w:trPr>
          <w:tblHeader w:val="true"/>
          <w:trHeight w:val="228" w:hRule="atLeast"/>
        </w:trPr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5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6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7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8</w:t>
            </w:r>
          </w:p>
        </w:tc>
      </w:tr>
      <w:tr>
        <w:trPr/>
        <w:tc>
          <w:tcPr>
            <w:tcW w:w="695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«Создание условий для легкого старта и комфортного ведения бизнеса», в т.ч.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Федеральный бюджет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Областной бюджет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Местный бюджет</w:t>
              <w:tab/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 «КУМИ»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1.</w:t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Задача 1 «Имущественная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95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1.1.</w:t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Мероприятия (результат) «Проведение мероприятий по имущественной поддержке субъектов малого и среднего предпринимательства»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Федеральный бюджет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Областной бюджет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Местный бюджет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Внебюджетные источники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Исполнитель «КУМИ»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2.</w:t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Задача 2 «Консультационная поддержка субъектов малого и среднего предпринимательства»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val="2A6099"/>
                <w:szCs w:val="24"/>
              </w:rPr>
            </w:pPr>
            <w:r>
              <w:rPr>
                <w:rFonts w:ascii="Times New Roman" w:hAnsi="Times New Roman"/>
                <w:color w:val="2A6099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695" w:type="dxa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2.1.</w:t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Мероприятие (результат) «Проведение информационно-консультационных мероприятий по поддержке субъектов малого и среднего предпринимательства»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Федеральный бюджет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Областной бюджет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Местный бюджет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Внебюджетные источники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Исполнитель «Администрация города Новокузнецка»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95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5972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kern w:val="0"/>
                <w:sz w:val="2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Исполнитель «КУМИ»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179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16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-</w:t>
            </w:r>
          </w:p>
        </w:tc>
      </w:tr>
    </w:tbl>
    <w:p>
      <w:pPr>
        <w:pStyle w:val="Normal"/>
        <w:suppressAutoHyphens w:val="tru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br w:type="page"/>
      </w:r>
    </w:p>
    <w:p>
      <w:pPr>
        <w:pStyle w:val="Normal"/>
        <w:tabs>
          <w:tab w:val="clear" w:pos="709"/>
          <w:tab w:val="left" w:pos="7755" w:leader="none"/>
        </w:tabs>
        <w:spacing w:lineRule="auto" w:line="276"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6. План реализации комплекса процессных мероприятий</w:t>
      </w:r>
    </w:p>
    <w:tbl>
      <w:tblPr>
        <w:tblStyle w:val="af1"/>
        <w:tblW w:w="14560" w:type="dxa"/>
        <w:jc w:val="left"/>
        <w:tblInd w:w="113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723"/>
        <w:gridCol w:w="3227"/>
        <w:gridCol w:w="2944"/>
        <w:gridCol w:w="2665"/>
      </w:tblGrid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Задача, мероприятие (результат) / контрольная точка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Дата наступления контрольной точки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Исполнитель, ответственный за реализацию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Вид документа, подтверждающего факт достижения контрольной точки</w:t>
            </w:r>
          </w:p>
        </w:tc>
      </w:tr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1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2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3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4</w:t>
            </w:r>
          </w:p>
        </w:tc>
      </w:tr>
      <w:tr>
        <w:trPr>
          <w:trHeight w:val="548" w:hRule="atLeast"/>
        </w:trPr>
        <w:tc>
          <w:tcPr>
            <w:tcW w:w="14559" w:type="dxa"/>
            <w:gridSpan w:val="4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 1. «Имущественная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предпринимательства»</w:t>
            </w:r>
          </w:p>
        </w:tc>
      </w:tr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Мероприятия (результат) 1 «Проведение мероприятий по имущественной поддержке субъектов малого и среднего предпринимательства» 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КУМИ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Договор аренды нежилых помещений</w:t>
            </w:r>
          </w:p>
        </w:tc>
      </w:tr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Контрольная точка 1.1.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Не предусмотрена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14559" w:type="dxa"/>
            <w:gridSpan w:val="4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Задача 2.  «Консультационная поддержка субъектов малого и среднего предпринимательства»</w:t>
            </w:r>
          </w:p>
        </w:tc>
      </w:tr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Мероприятия (результат) «Проведение </w:t>
            </w:r>
            <w:r>
              <w:rPr>
                <w:rFonts w:eastAsia="Calibri" w:ascii="Times New Roman" w:hAnsi="Times New Roman"/>
                <w:bCs/>
                <w:kern w:val="0"/>
                <w:sz w:val="20"/>
                <w:szCs w:val="24"/>
                <w:lang w:val="ru-RU" w:eastAsia="en-US" w:bidi="ar-SA"/>
              </w:rPr>
              <w:t>информационно-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консультационных мероприятий по поддержке субъектов малого и среднего предпринимательства»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Х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Управление;</w:t>
            </w:r>
          </w:p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Calibri" w:ascii="Times New Roman" w:hAnsi="Times New Roman"/>
                <w:bCs/>
                <w:kern w:val="0"/>
                <w:sz w:val="20"/>
                <w:szCs w:val="24"/>
                <w:lang w:val="ru-RU" w:eastAsia="en-US" w:bidi="ar-SA"/>
              </w:rPr>
              <w:t>Центр поддержки предпринимательства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 xml:space="preserve"> </w:t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5723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Контрольная точка 2.1.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Не предусмотрена</w:t>
            </w:r>
          </w:p>
        </w:tc>
        <w:tc>
          <w:tcPr>
            <w:tcW w:w="2944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665" w:type="dxa"/>
            <w:tcBorders/>
          </w:tcPr>
          <w:p>
            <w:pPr>
              <w:pStyle w:val="Normal"/>
              <w:widowControl/>
              <w:spacing w:before="0" w:after="0"/>
              <w:ind w:firstLine="7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</w:r>
          </w:p>
        </w:tc>
      </w:tr>
    </w:tbl>
    <w:p>
      <w:pPr>
        <w:sectPr>
          <w:headerReference w:type="default" r:id="rId19"/>
          <w:headerReference w:type="first" r:id="rId20"/>
          <w:type w:val="nextPage"/>
          <w:pgSz w:orient="landscape" w:w="16838" w:h="11906"/>
          <w:pgMar w:left="1134" w:right="1134" w:gutter="0" w:header="708" w:top="1418" w:footer="0" w:bottom="84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before="0" w:after="0"/>
        <w:jc w:val="center"/>
        <w:rPr>
          <w:rFonts w:ascii="Times New Roman" w:hAnsi="Times New Roman"/>
          <w:color w:themeColor="text1" w:val="000000"/>
          <w:szCs w:val="24"/>
        </w:rPr>
      </w:pPr>
      <w:r>
        <w:rPr>
          <w:rFonts w:ascii="Times New Roman" w:hAnsi="Times New Roman"/>
          <w:color w:themeColor="text1" w:val="000000"/>
          <w:szCs w:val="24"/>
        </w:rPr>
        <w:t>Лист согласования</w:t>
      </w:r>
    </w:p>
    <w:p>
      <w:pPr>
        <w:pStyle w:val="Normal"/>
        <w:spacing w:before="0" w:after="0"/>
        <w:jc w:val="center"/>
        <w:rPr>
          <w:rFonts w:ascii="Times New Roman" w:hAnsi="Times New Roman"/>
          <w:color w:themeColor="text1" w:val="000000"/>
          <w:szCs w:val="24"/>
        </w:rPr>
      </w:pPr>
      <w:r>
        <w:rPr>
          <w:rFonts w:ascii="Times New Roman" w:hAnsi="Times New Roman"/>
          <w:color w:themeColor="text1" w:val="000000"/>
          <w:szCs w:val="24"/>
        </w:rPr>
        <w:t>проекта правового акта администрации города Новокузнецка</w:t>
      </w:r>
    </w:p>
    <w:p>
      <w:pPr>
        <w:pStyle w:val="Normal"/>
        <w:spacing w:before="0" w:after="0"/>
        <w:jc w:val="center"/>
        <w:rPr>
          <w:rFonts w:ascii="Times New Roman" w:hAnsi="Times New Roman"/>
          <w:color w:themeColor="text1" w:val="000000"/>
          <w:szCs w:val="24"/>
        </w:rPr>
      </w:pPr>
      <w:r>
        <w:rPr>
          <w:rFonts w:ascii="Times New Roman" w:hAnsi="Times New Roman"/>
          <w:color w:themeColor="text1" w:val="000000"/>
          <w:szCs w:val="24"/>
        </w:rPr>
      </w:r>
    </w:p>
    <w:tbl>
      <w:tblPr>
        <w:tblStyle w:val="af1"/>
        <w:tblW w:w="98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18"/>
        <w:gridCol w:w="424"/>
        <w:gridCol w:w="2070"/>
        <w:gridCol w:w="1617"/>
        <w:gridCol w:w="425"/>
        <w:gridCol w:w="2798"/>
      </w:tblGrid>
      <w:tr>
        <w:trPr/>
        <w:tc>
          <w:tcPr>
            <w:tcW w:w="5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Вид правового акта: постановление</w:t>
            </w:r>
          </w:p>
        </w:tc>
        <w:tc>
          <w:tcPr>
            <w:tcW w:w="4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от ______________ № __________</w:t>
            </w:r>
          </w:p>
        </w:tc>
      </w:tr>
      <w:tr>
        <w:trPr>
          <w:trHeight w:val="170" w:hRule="exact"/>
        </w:trPr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Наименование (заголовок) правового акта: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О внесении изменения в постановление администрации города Новокузнецка от 14.11.2025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>№</w:t>
            </w:r>
            <w:r>
              <w:rPr>
                <w:rFonts w:ascii="Times New Roman" w:hAnsi="Times New Roman"/>
                <w:bCs/>
                <w:kern w:val="0"/>
                <w:sz w:val="20"/>
                <w:szCs w:val="24"/>
                <w:lang w:val="ru-RU" w:bidi="ar-SA"/>
              </w:rPr>
              <w:t xml:space="preserve">254 «Об утверждении муниципальной программы </w:t>
            </w: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Новокузнецкого городского округа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«Развитие субъектов малого и среднего предпринимательства в Новокузнецком городском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val="ru-RU" w:bidi="ar-SA"/>
              </w:rPr>
              <w:t>округе»</w:t>
            </w:r>
          </w:p>
        </w:tc>
      </w:tr>
      <w:tr>
        <w:trPr>
          <w:trHeight w:val="170" w:hRule="exact"/>
        </w:trPr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Проект правового акта внесен: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Начальник управления потребительского рынка и развития предпринимательства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должность лица, внесшего правовой акт (разработчик)</w:t>
            </w:r>
          </w:p>
        </w:tc>
      </w:tr>
      <w:tr>
        <w:trPr>
          <w:trHeight w:val="284" w:hRule="exac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Я.В. Шиллер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Проект правового акта согласован: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Заместитель Главы города по экономическим вопросам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bookmarkStart w:id="16" w:name="OLE_LINK80"/>
            <w:bookmarkStart w:id="17" w:name="OLE_LINK79"/>
            <w:bookmarkStart w:id="18" w:name="OLE_LINK78"/>
            <w:bookmarkStart w:id="19" w:name="OLE_LINK77"/>
            <w:bookmarkStart w:id="20" w:name="OLE_LINK76"/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должность лица, согласующего проект правового акта</w:t>
            </w:r>
            <w:bookmarkEnd w:id="16"/>
            <w:bookmarkEnd w:id="17"/>
            <w:bookmarkEnd w:id="18"/>
            <w:bookmarkEnd w:id="19"/>
            <w:bookmarkEnd w:id="20"/>
          </w:p>
        </w:tc>
      </w:tr>
      <w:tr>
        <w:trPr>
          <w:trHeight w:val="284" w:hRule="atLeas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 xml:space="preserve">И.С. Прошунина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дата</w:t>
            </w:r>
            <w:bookmarkStart w:id="21" w:name="OLE_LINK93"/>
            <w:bookmarkStart w:id="22" w:name="OLE_LINK92"/>
            <w:bookmarkStart w:id="23" w:name="OLE_LINK91"/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 xml:space="preserve"> согласования</w:t>
            </w:r>
            <w:bookmarkEnd w:id="21"/>
            <w:bookmarkEnd w:id="22"/>
            <w:bookmarkEnd w:id="23"/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Заместитель Главы города – начальник Финансового управления города Новокузнецка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должность лица, согласующего проект правового акта</w:t>
            </w:r>
          </w:p>
        </w:tc>
      </w:tr>
      <w:tr>
        <w:trPr>
          <w:trHeight w:val="284" w:hRule="atLeas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О.А. Алешкова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 xml:space="preserve">Председатель Комитета по управлению муниципальным имуществом города Новокузнецка 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должность лица, согласующего проект правового акта</w:t>
            </w:r>
          </w:p>
        </w:tc>
      </w:tr>
      <w:tr>
        <w:trPr>
          <w:trHeight w:val="284" w:hRule="atLeas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Н.В. Сафонова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Начальник управления экономического развития, промышленности и инвестиций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Е.И. Бажина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  <w:bookmarkStart w:id="24" w:name="OLE_LINK72"/>
            <w:bookmarkStart w:id="25" w:name="OLE_LINK71"/>
            <w:bookmarkStart w:id="26" w:name="OLE_LINK70"/>
            <w:bookmarkStart w:id="27" w:name="OLE_LINK69"/>
            <w:bookmarkStart w:id="28" w:name="OLE_LINK64"/>
            <w:bookmarkStart w:id="29" w:name="OLE_LINK63"/>
            <w:bookmarkStart w:id="30" w:name="OLE_LINK72"/>
            <w:bookmarkStart w:id="31" w:name="OLE_LINK71"/>
            <w:bookmarkStart w:id="32" w:name="OLE_LINK70"/>
            <w:bookmarkStart w:id="33" w:name="OLE_LINK69"/>
            <w:bookmarkStart w:id="34" w:name="OLE_LINK64"/>
            <w:bookmarkStart w:id="35" w:name="OLE_LINK63"/>
            <w:bookmarkEnd w:id="30"/>
            <w:bookmarkEnd w:id="31"/>
            <w:bookmarkEnd w:id="32"/>
            <w:bookmarkEnd w:id="33"/>
            <w:bookmarkEnd w:id="34"/>
            <w:bookmarkEnd w:id="35"/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Начальник правового управления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должность лица, согласующего проект правового акта</w:t>
            </w:r>
          </w:p>
        </w:tc>
      </w:tr>
      <w:tr>
        <w:trPr>
          <w:trHeight w:val="284" w:hRule="atLeas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И.Ю. Баскакова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Заместитель Главы города – руководитель аппарата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Е.С. Бисенова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подпись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vertAlign w:val="superscript"/>
                <w:lang w:val="ru-RU" w:bidi="ar-SA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both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0"/>
                <w:szCs w:val="24"/>
                <w:lang w:val="ru-RU" w:bidi="ar-SA"/>
              </w:rPr>
              <w:t>Разослано: в дело, Прошуниной И.С., управление потребительского рынка и развития предпринимательства, Комитет по управлению муниципальным имуществом города Новокузнецка, Финансовое управление города Новокузнецка, управление экономического развития, промышленности и инвестиций, правовое управление, у</w:t>
            </w:r>
            <w:r>
              <w:rPr>
                <w:rFonts w:eastAsia="Calibri" w:ascii="Times New Roman" w:hAnsi="Times New Roman" w:eastAsiaTheme="minorHAnsi"/>
                <w:kern w:val="0"/>
                <w:sz w:val="20"/>
                <w:szCs w:val="24"/>
                <w:lang w:val="ru-RU" w:bidi="ar-SA"/>
              </w:rPr>
              <w:t>правление информационной политики и социальных коммуникаций</w:t>
            </w:r>
            <w:bookmarkStart w:id="36" w:name="OLE_LINK84"/>
            <w:bookmarkStart w:id="37" w:name="OLE_LINK83"/>
            <w:bookmarkStart w:id="38" w:name="OLE_LINK82"/>
            <w:bookmarkStart w:id="39" w:name="OLE_LINK81"/>
            <w:bookmarkEnd w:id="36"/>
            <w:bookmarkEnd w:id="37"/>
            <w:bookmarkEnd w:id="38"/>
            <w:bookmarkEnd w:id="39"/>
          </w:p>
        </w:tc>
      </w:tr>
    </w:tbl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sectPr>
      <w:headerReference w:type="default" r:id="rId21"/>
      <w:headerReference w:type="first" r:id="rId22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Journal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22609173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7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22609173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42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22609173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0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22609173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  <w:fldChar w:fldCharType="begin"/>
        </w:r>
        <w:r>
          <w:rPr>
            <w:sz w:val="20"/>
            <w:rFonts w:ascii="Times New Roman" w:hAnsi="Times New Roman"/>
          </w:rPr>
          <w:instrText xml:space="preserve"> PAGE </w:instrText>
        </w:r>
        <w:r>
          <w:rPr>
            <w:sz w:val="20"/>
            <w:rFonts w:ascii="Times New Roman" w:hAnsi="Times New Roman"/>
          </w:rPr>
          <w:fldChar w:fldCharType="separate"/>
        </w:r>
        <w:r>
          <w:rPr>
            <w:sz w:val="20"/>
            <w:rFonts w:ascii="Times New Roman" w:hAnsi="Times New Roman"/>
          </w:rPr>
          <w:t>43</w:t>
        </w:r>
        <w:r>
          <w:rPr>
            <w:sz w:val="20"/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98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Indent 2" w:uiPriority="0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a133e"/>
    <w:pPr>
      <w:widowControl/>
      <w:bidi w:val="0"/>
      <w:spacing w:before="0" w:after="20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ec3852"/>
    <w:pPr>
      <w:keepNext w:val="true"/>
      <w:overflowPunct w:val="true"/>
      <w:spacing w:before="240" w:after="36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ed1b5a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c2ba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7c2ba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306b8"/>
    <w:pPr>
      <w:keepNext w:val="true"/>
      <w:keepLines/>
      <w:spacing w:before="200" w:after="20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c3852"/>
    <w:rPr>
      <w:rFonts w:ascii="Times New Roman" w:hAnsi="Times New Roman" w:eastAsia="Times New Roman" w:cs="Times New Roman"/>
      <w:spacing w:val="104"/>
      <w:sz w:val="32"/>
      <w:szCs w:val="20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qFormat/>
    <w:rsid w:val="00ec385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4f470b"/>
    <w:rPr>
      <w:color w:themeColor="hyperlink" w:val="0000FF"/>
      <w:u w:val="single"/>
    </w:rPr>
  </w:style>
  <w:style w:type="character" w:styleId="3" w:customStyle="1">
    <w:name w:val="Заголовок 3 Знак"/>
    <w:basedOn w:val="DefaultParagraphFont"/>
    <w:semiHidden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4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PageNumber">
    <w:name w:val="page number"/>
    <w:basedOn w:val="DefaultParagraphFont"/>
    <w:rsid w:val="007c2ba9"/>
    <w:rPr/>
  </w:style>
  <w:style w:type="character" w:styleId="Style11" w:customStyle="1">
    <w:name w:val="Ниж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Style12" w:customStyle="1">
    <w:name w:val="Основной текст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7c2ba9"/>
    <w:rPr>
      <w:rFonts w:ascii="Times New Roman" w:hAnsi="Times New Roman" w:eastAsia="Times New Roman" w:cs="Times New Roman"/>
      <w:spacing w:val="-2"/>
      <w:sz w:val="24"/>
      <w:szCs w:val="20"/>
      <w:lang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FontStyle12" w:customStyle="1">
    <w:name w:val="Font Style12"/>
    <w:basedOn w:val="DefaultParagraphFont"/>
    <w:qFormat/>
    <w:rsid w:val="007c2ba9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7c2ba9"/>
    <w:rPr>
      <w:rFonts w:ascii="Times New Roman" w:hAnsi="Times New Roman" w:cs="Times New Roman"/>
      <w:b/>
      <w:b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b5684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5b5684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5b5684"/>
    <w:rPr>
      <w:rFonts w:ascii="Journal" w:hAnsi="Journal" w:eastAsia="Times New Roman" w:cs="Times New Roman"/>
      <w:b/>
      <w:bCs/>
      <w:sz w:val="20"/>
      <w:szCs w:val="20"/>
      <w:lang w:eastAsia="ru-RU"/>
    </w:rPr>
  </w:style>
  <w:style w:type="character" w:styleId="Style16" w:customStyle="1">
    <w:name w:val="Текст концевой сноски Знак"/>
    <w:basedOn w:val="DefaultParagraphFont"/>
    <w:uiPriority w:val="99"/>
    <w:semiHidden/>
    <w:qFormat/>
    <w:rsid w:val="00093d44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7">
    <w:name w:val="Символ концевой сноски"/>
    <w:basedOn w:val="DefaultParagraphFont"/>
    <w:uiPriority w:val="99"/>
    <w:semiHidden/>
    <w:unhideWhenUsed/>
    <w:qFormat/>
    <w:rsid w:val="00093d4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9" w:customStyle="1">
    <w:name w:val="Основной текст + 9"/>
    <w:basedOn w:val="Style12"/>
    <w:qFormat/>
    <w:rsid w:val="002d23f1"/>
    <w:rPr>
      <w:rFonts w:ascii="Arial" w:hAnsi="Arial" w:eastAsia="Times New Roman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character" w:styleId="21" w:customStyle="1">
    <w:name w:val="Заголовок 2 Знак"/>
    <w:basedOn w:val="DefaultParagraphFont"/>
    <w:uiPriority w:val="9"/>
    <w:qFormat/>
    <w:rsid w:val="00ed1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306b8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4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6f107b"/>
    <w:rPr>
      <w:color w:val="800080"/>
      <w:u w:val="single"/>
    </w:rPr>
  </w:style>
  <w:style w:type="character" w:styleId="Style18" w:customStyle="1">
    <w:name w:val="Текст сноски Знак"/>
    <w:basedOn w:val="DefaultParagraphFont"/>
    <w:uiPriority w:val="99"/>
    <w:qFormat/>
    <w:rsid w:val="00855a6c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9">
    <w:name w:val="Символ сноски"/>
    <w:basedOn w:val="DefaultParagraphFont"/>
    <w:uiPriority w:val="99"/>
    <w:unhideWhenUsed/>
    <w:qFormat/>
    <w:rsid w:val="00855a6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0" w:customStyle="1">
    <w:name w:val="Абзац списка Знак"/>
    <w:link w:val="ListParagraph"/>
    <w:uiPriority w:val="34"/>
    <w:qFormat/>
    <w:locked/>
    <w:rsid w:val="006c7b61"/>
    <w:rPr>
      <w:rFonts w:ascii="Calibri" w:hAnsi="Calibri" w:eastAsia="Calibri" w:cs="Times New Roman"/>
    </w:rPr>
  </w:style>
  <w:style w:type="character" w:styleId="ConsPlusNormal" w:customStyle="1">
    <w:name w:val="ConsPlusNormal Знак"/>
    <w:link w:val="ConsPlusNormal1"/>
    <w:qFormat/>
    <w:locked/>
    <w:rsid w:val="00b42ec5"/>
    <w:rPr>
      <w:rFonts w:ascii="Calibri" w:hAnsi="Calibri" w:eastAsia="Times New Roman" w:cs="Calibri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534acc"/>
    <w:rPr>
      <w:b/>
      <w:bCs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rsid w:val="007c2ba9"/>
    <w:pPr/>
    <w:rPr>
      <w:rFonts w:ascii="Times New Roman" w:hAnsi="Times New Roma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Title" w:customStyle="1">
    <w:name w:val="ConsPlusTitle"/>
    <w:qFormat/>
    <w:rsid w:val="000f4c0f"/>
    <w:pPr>
      <w:widowControl w:val="false"/>
      <w:bidi w:val="0"/>
      <w:spacing w:before="0" w:after="0"/>
      <w:jc w:val="both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1" w:customStyle="1">
    <w:name w:val="ConsPlusNormal"/>
    <w:link w:val="ConsPlusNormal"/>
    <w:qFormat/>
    <w:rsid w:val="000f4c0f"/>
    <w:pPr>
      <w:widowControl w:val="false"/>
      <w:bidi w:val="0"/>
      <w:spacing w:before="0" w:after="0"/>
      <w:jc w:val="both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0f4c0f"/>
    <w:pPr>
      <w:widowControl w:val="false"/>
      <w:bidi w:val="0"/>
      <w:spacing w:before="0" w:after="0"/>
      <w:jc w:val="both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link w:val="Style20"/>
    <w:uiPriority w:val="34"/>
    <w:qFormat/>
    <w:rsid w:val="00ec3852"/>
    <w:pPr>
      <w:spacing w:lineRule="auto" w:line="276" w:before="0" w:after="200"/>
      <w:ind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9"/>
    <w:uiPriority w:val="99"/>
    <w:unhideWhenUsed/>
    <w:qFormat/>
    <w:rsid w:val="00ec3852"/>
    <w:pPr/>
    <w:rPr>
      <w:rFonts w:ascii="Tahoma" w:hAnsi="Tahoma" w:cs="Tahoma"/>
      <w:sz w:val="16"/>
      <w:szCs w:val="16"/>
    </w:rPr>
  </w:style>
  <w:style w:type="paragraph" w:styleId="Style23">
    <w:name w:val="Колонтитулы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c2ba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1" w:customStyle="1">
    <w:name w:val="Стиль1"/>
    <w:basedOn w:val="Normal"/>
    <w:qFormat/>
    <w:rsid w:val="007c2ba9"/>
    <w:pPr>
      <w:spacing w:before="240" w:after="200"/>
      <w:jc w:val="center"/>
    </w:pPr>
    <w:rPr>
      <w:rFonts w:ascii="Baltica" w:hAnsi="Baltica"/>
      <w:caps/>
    </w:rPr>
  </w:style>
  <w:style w:type="paragraph" w:styleId="12" w:customStyle="1">
    <w:name w:val="Знак Знак1 Знак Знак Знак Знак Знак Знак 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Footer">
    <w:name w:val="footer"/>
    <w:basedOn w:val="Normal"/>
    <w:link w:val="Style11"/>
    <w:uiPriority w:val="99"/>
    <w:rsid w:val="007c2ba9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3"/>
    <w:rsid w:val="007c2ba9"/>
    <w:pPr/>
    <w:rPr>
      <w:rFonts w:ascii="Times New Roman" w:hAnsi="Times New Roman"/>
    </w:rPr>
  </w:style>
  <w:style w:type="paragraph" w:styleId="BodyTextIndent2">
    <w:name w:val="Body Text Indent 2"/>
    <w:basedOn w:val="Normal"/>
    <w:link w:val="2"/>
    <w:qFormat/>
    <w:rsid w:val="007c2ba9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7c2ba9"/>
    <w:pPr>
      <w:spacing w:before="80" w:after="200"/>
      <w:ind w:firstLine="437" w:left="283"/>
    </w:pPr>
    <w:rPr>
      <w:rFonts w:ascii="Times New Roman" w:hAnsi="Times New Roman"/>
    </w:rPr>
  </w:style>
  <w:style w:type="paragraph" w:styleId="211" w:customStyle="1">
    <w:name w:val="Основной текст 21"/>
    <w:basedOn w:val="Normal"/>
    <w:qFormat/>
    <w:rsid w:val="007c2ba9"/>
    <w:pPr>
      <w:widowControl w:val="false"/>
      <w:overflowPunct w:val="true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uiPriority w:val="99"/>
    <w:qFormat/>
    <w:rsid w:val="007c2ba9"/>
    <w:pPr>
      <w:widowControl/>
      <w:bidi w:val="0"/>
      <w:snapToGrid w:val="false"/>
      <w:spacing w:before="0" w:after="0"/>
      <w:ind w:firstLine="720" w:right="19772"/>
      <w:jc w:val="both"/>
    </w:pPr>
    <w:rPr>
      <w:rFonts w:ascii="Arial" w:hAnsi="Arial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110" w:customStyle="1">
    <w:name w:val="Style1"/>
    <w:basedOn w:val="Normal"/>
    <w:qFormat/>
    <w:rsid w:val="007c2ba9"/>
    <w:pPr>
      <w:widowControl w:val="false"/>
      <w:jc w:val="center"/>
    </w:pPr>
    <w:rPr>
      <w:rFonts w:ascii="Times New Roman" w:hAnsi="Times New Roman"/>
      <w:szCs w:val="24"/>
    </w:rPr>
  </w:style>
  <w:style w:type="paragraph" w:styleId="Style24" w:customStyle="1">
    <w:name w:val="Style2"/>
    <w:basedOn w:val="Normal"/>
    <w:qFormat/>
    <w:rsid w:val="007c2ba9"/>
    <w:pPr>
      <w:widowControl w:val="false"/>
      <w:spacing w:lineRule="exact" w:line="23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7c2ba9"/>
    <w:pPr>
      <w:widowControl w:val="false"/>
      <w:spacing w:lineRule="exact" w:line="23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7c2ba9"/>
    <w:pPr>
      <w:widowControl w:val="false"/>
      <w:spacing w:lineRule="exact" w:line="231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7c2ba9"/>
    <w:pPr>
      <w:widowControl w:val="false"/>
      <w:spacing w:lineRule="exact" w:line="233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7c2ba9"/>
    <w:pPr>
      <w:widowControl w:val="false"/>
      <w:spacing w:lineRule="exact" w:line="23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7c2ba9"/>
    <w:pPr>
      <w:spacing w:before="0" w:after="216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7c2ba9"/>
    <w:pPr>
      <w:spacing w:before="0" w:after="216"/>
      <w:ind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7c2ba9"/>
    <w:pPr>
      <w:spacing w:before="0" w:after="216"/>
      <w:jc w:val="center"/>
    </w:pPr>
    <w:rPr>
      <w:rFonts w:ascii="Times New Roman" w:hAnsi="Times New Roman"/>
      <w:szCs w:val="24"/>
    </w:rPr>
  </w:style>
  <w:style w:type="paragraph" w:styleId="Style25" w:customStyle="1">
    <w:name w:val="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Cell" w:customStyle="1">
    <w:name w:val="ConsPlusCell"/>
    <w:uiPriority w:val="99"/>
    <w:qFormat/>
    <w:rsid w:val="007c2ba9"/>
    <w:pPr>
      <w:widowControl w:val="fals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5b5684"/>
    <w:pPr/>
    <w:rPr>
      <w:sz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5b5684"/>
    <w:pPr/>
    <w:rPr>
      <w:b/>
      <w:bCs/>
    </w:rPr>
  </w:style>
  <w:style w:type="paragraph" w:styleId="EndnoteText">
    <w:name w:val="endnote text"/>
    <w:basedOn w:val="Normal"/>
    <w:link w:val="Style16"/>
    <w:uiPriority w:val="99"/>
    <w:semiHidden/>
    <w:unhideWhenUsed/>
    <w:rsid w:val="00093d44"/>
    <w:pPr/>
    <w:rPr>
      <w:sz w:val="20"/>
    </w:rPr>
  </w:style>
  <w:style w:type="paragraph" w:styleId="Default" w:customStyle="1">
    <w:name w:val="Default"/>
    <w:qFormat/>
    <w:rsid w:val="00cd6889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13" w:customStyle="1">
    <w:name w:val="Обычный1"/>
    <w:qFormat/>
    <w:rsid w:val="00cd6889"/>
    <w:pPr>
      <w:widowControl/>
      <w:pBdr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rsid w:val="00b84776"/>
    <w:pPr>
      <w:widowControl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font5" w:customStyle="1">
    <w:name w:val="font5"/>
    <w:basedOn w:val="Normal"/>
    <w:qFormat/>
    <w:rsid w:val="006f107b"/>
    <w:pPr>
      <w:spacing w:beforeAutospacing="1" w:afterAutospacing="1"/>
      <w:jc w:val="left"/>
    </w:pPr>
    <w:rPr>
      <w:rFonts w:ascii="Times New Roman" w:hAnsi="Times New Roman"/>
      <w:sz w:val="22"/>
      <w:szCs w:val="22"/>
    </w:rPr>
  </w:style>
  <w:style w:type="paragraph" w:styleId="font6" w:customStyle="1">
    <w:name w:val="font6"/>
    <w:basedOn w:val="Normal"/>
    <w:qFormat/>
    <w:rsid w:val="006f107b"/>
    <w:pPr>
      <w:spacing w:beforeAutospacing="1" w:afterAutospacing="1"/>
      <w:jc w:val="left"/>
    </w:pPr>
    <w:rPr>
      <w:rFonts w:ascii="Times New Roman" w:hAnsi="Times New Roman"/>
      <w:b/>
      <w:bCs/>
      <w:sz w:val="22"/>
      <w:szCs w:val="22"/>
    </w:rPr>
  </w:style>
  <w:style w:type="paragraph" w:styleId="xl65" w:customStyle="1">
    <w:name w:val="xl65"/>
    <w:basedOn w:val="Normal"/>
    <w:qFormat/>
    <w:rsid w:val="006f107b"/>
    <w:pPr>
      <w:spacing w:beforeAutospacing="1" w:afterAutospacing="1"/>
      <w:jc w:val="center"/>
    </w:pPr>
    <w:rPr>
      <w:rFonts w:ascii="Calibri" w:hAnsi="Calibri"/>
      <w:b/>
      <w:bCs/>
      <w:szCs w:val="24"/>
    </w:rPr>
  </w:style>
  <w:style w:type="paragraph" w:styleId="xl66" w:customStyle="1">
    <w:name w:val="xl6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67" w:customStyle="1">
    <w:name w:val="xl6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68" w:customStyle="1">
    <w:name w:val="xl68"/>
    <w:basedOn w:val="Normal"/>
    <w:qFormat/>
    <w:rsid w:val="006f107b"/>
    <w:pPr>
      <w:spacing w:beforeAutospacing="1" w:afterAutospacing="1"/>
      <w:jc w:val="left"/>
    </w:pPr>
    <w:rPr>
      <w:rFonts w:ascii="Calibri" w:hAnsi="Calibri"/>
      <w:b/>
      <w:bCs/>
      <w:szCs w:val="24"/>
    </w:rPr>
  </w:style>
  <w:style w:type="paragraph" w:styleId="xl69" w:customStyle="1">
    <w:name w:val="xl6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0" w:customStyle="1">
    <w:name w:val="xl7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71" w:customStyle="1">
    <w:name w:val="xl7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2" w:customStyle="1">
    <w:name w:val="xl72"/>
    <w:basedOn w:val="Normal"/>
    <w:qFormat/>
    <w:rsid w:val="006f107b"/>
    <w:pPr>
      <w:spacing w:beforeAutospacing="1" w:afterAutospacing="1"/>
      <w:jc w:val="left"/>
    </w:pPr>
    <w:rPr>
      <w:rFonts w:ascii="Calibri" w:hAnsi="Calibri"/>
      <w:szCs w:val="24"/>
    </w:rPr>
  </w:style>
  <w:style w:type="paragraph" w:styleId="xl73" w:customStyle="1">
    <w:name w:val="xl7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4" w:customStyle="1">
    <w:name w:val="xl7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5" w:customStyle="1">
    <w:name w:val="xl7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6" w:customStyle="1">
    <w:name w:val="xl76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7" w:customStyle="1">
    <w:name w:val="xl77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8" w:customStyle="1">
    <w:name w:val="xl7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79" w:customStyle="1">
    <w:name w:val="xl7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0" w:customStyle="1">
    <w:name w:val="xl80"/>
    <w:basedOn w:val="Normal"/>
    <w:qFormat/>
    <w:rsid w:val="006f107b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1" w:customStyle="1">
    <w:name w:val="xl81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2" w:customStyle="1">
    <w:name w:val="xl8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3" w:customStyle="1">
    <w:name w:val="xl8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4" w:customStyle="1">
    <w:name w:val="xl84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85" w:customStyle="1">
    <w:name w:val="xl85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6" w:customStyle="1">
    <w:name w:val="xl8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87" w:customStyle="1">
    <w:name w:val="xl87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8" w:customStyle="1">
    <w:name w:val="xl8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89" w:customStyle="1">
    <w:name w:val="xl89"/>
    <w:basedOn w:val="Normal"/>
    <w:qFormat/>
    <w:rsid w:val="006f107b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90" w:customStyle="1">
    <w:name w:val="xl90"/>
    <w:basedOn w:val="Normal"/>
    <w:qFormat/>
    <w:rsid w:val="006f107b"/>
    <w:pP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91" w:customStyle="1">
    <w:name w:val="xl9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92" w:customStyle="1">
    <w:name w:val="xl92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93" w:customStyle="1">
    <w:name w:val="xl93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94" w:customStyle="1">
    <w:name w:val="xl94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95" w:customStyle="1">
    <w:name w:val="xl9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i/>
      <w:iCs/>
      <w:szCs w:val="24"/>
    </w:rPr>
  </w:style>
  <w:style w:type="paragraph" w:styleId="xl96" w:customStyle="1">
    <w:name w:val="xl96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i/>
      <w:iCs/>
      <w:szCs w:val="24"/>
    </w:rPr>
  </w:style>
  <w:style w:type="paragraph" w:styleId="xl97" w:customStyle="1">
    <w:name w:val="xl9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98" w:customStyle="1">
    <w:name w:val="xl98"/>
    <w:basedOn w:val="Normal"/>
    <w:qFormat/>
    <w:rsid w:val="006f107b"/>
    <w:pPr>
      <w:spacing w:beforeAutospacing="1" w:afterAutospacing="1"/>
      <w:jc w:val="center"/>
    </w:pPr>
    <w:rPr>
      <w:rFonts w:ascii="Calibri" w:hAnsi="Calibri"/>
      <w:szCs w:val="24"/>
    </w:rPr>
  </w:style>
  <w:style w:type="paragraph" w:styleId="xl99" w:customStyle="1">
    <w:name w:val="xl99"/>
    <w:basedOn w:val="Normal"/>
    <w:qFormat/>
    <w:rsid w:val="006f107b"/>
    <w:pP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00" w:customStyle="1">
    <w:name w:val="xl10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Times New Roman" w:hAnsi="Times New Roman"/>
      <w:szCs w:val="24"/>
    </w:rPr>
  </w:style>
  <w:style w:type="paragraph" w:styleId="xl101" w:customStyle="1">
    <w:name w:val="xl10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2" w:customStyle="1">
    <w:name w:val="xl102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3" w:customStyle="1">
    <w:name w:val="xl103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4" w:customStyle="1">
    <w:name w:val="xl104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5" w:customStyle="1">
    <w:name w:val="xl105"/>
    <w:basedOn w:val="Normal"/>
    <w:qFormat/>
    <w:rsid w:val="006f107b"/>
    <w:pPr>
      <w:pBdr>
        <w:top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6" w:customStyle="1">
    <w:name w:val="xl10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7" w:customStyle="1">
    <w:name w:val="xl107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8" w:customStyle="1">
    <w:name w:val="xl10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09" w:customStyle="1">
    <w:name w:val="xl109"/>
    <w:basedOn w:val="Normal"/>
    <w:qFormat/>
    <w:rsid w:val="006f107b"/>
    <w:pPr>
      <w:shd w:val="clear" w:color="000000" w:fill="FFFFFF"/>
      <w:spacing w:beforeAutospacing="1" w:afterAutospacing="1"/>
      <w:jc w:val="left"/>
    </w:pPr>
    <w:rPr>
      <w:rFonts w:ascii="Calibri" w:hAnsi="Calibri"/>
      <w:szCs w:val="24"/>
    </w:rPr>
  </w:style>
  <w:style w:type="paragraph" w:styleId="xl110" w:customStyle="1">
    <w:name w:val="xl110"/>
    <w:basedOn w:val="Normal"/>
    <w:qFormat/>
    <w:rsid w:val="006f107b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11" w:customStyle="1">
    <w:name w:val="xl11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12" w:customStyle="1">
    <w:name w:val="xl112"/>
    <w:basedOn w:val="Normal"/>
    <w:qFormat/>
    <w:rsid w:val="006f107b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13" w:customStyle="1">
    <w:name w:val="xl11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14" w:customStyle="1">
    <w:name w:val="xl11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15" w:customStyle="1">
    <w:name w:val="xl115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16" w:customStyle="1">
    <w:name w:val="xl116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xl117" w:customStyle="1">
    <w:name w:val="xl11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18" w:customStyle="1">
    <w:name w:val="xl118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19" w:customStyle="1">
    <w:name w:val="xl11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20" w:customStyle="1">
    <w:name w:val="xl120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1" w:customStyle="1">
    <w:name w:val="xl121"/>
    <w:basedOn w:val="Normal"/>
    <w:qFormat/>
    <w:rsid w:val="006f107b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2" w:customStyle="1">
    <w:name w:val="xl12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23" w:customStyle="1">
    <w:name w:val="xl123"/>
    <w:basedOn w:val="Normal"/>
    <w:qFormat/>
    <w:rsid w:val="006f107b"/>
    <w:pPr>
      <w:pBdr>
        <w:lef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24" w:customStyle="1">
    <w:name w:val="xl124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5" w:customStyle="1">
    <w:name w:val="xl125"/>
    <w:basedOn w:val="Normal"/>
    <w:qFormat/>
    <w:rsid w:val="006f107b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26" w:customStyle="1">
    <w:name w:val="xl126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27" w:customStyle="1">
    <w:name w:val="xl12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28" w:customStyle="1">
    <w:name w:val="xl128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29" w:customStyle="1">
    <w:name w:val="xl12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0" w:customStyle="1">
    <w:name w:val="xl130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1" w:customStyle="1">
    <w:name w:val="xl13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2" w:customStyle="1">
    <w:name w:val="xl132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3" w:customStyle="1">
    <w:name w:val="xl133"/>
    <w:basedOn w:val="Normal"/>
    <w:qFormat/>
    <w:rsid w:val="006f107b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4" w:customStyle="1">
    <w:name w:val="xl134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5" w:customStyle="1">
    <w:name w:val="xl135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136" w:customStyle="1">
    <w:name w:val="xl13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37" w:customStyle="1">
    <w:name w:val="xl137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8" w:customStyle="1">
    <w:name w:val="xl13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39" w:customStyle="1">
    <w:name w:val="xl139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jc w:val="left"/>
      <w:textAlignment w:val="top"/>
    </w:pPr>
    <w:rPr>
      <w:rFonts w:ascii="Times New Roman" w:hAnsi="Times New Roman"/>
      <w:szCs w:val="24"/>
    </w:rPr>
  </w:style>
  <w:style w:type="paragraph" w:styleId="xl140" w:customStyle="1">
    <w:name w:val="xl140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41" w:customStyle="1">
    <w:name w:val="xl14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/>
      <w:szCs w:val="24"/>
    </w:rPr>
  </w:style>
  <w:style w:type="paragraph" w:styleId="xl142" w:customStyle="1">
    <w:name w:val="xl142"/>
    <w:basedOn w:val="Normal"/>
    <w:qFormat/>
    <w:rsid w:val="006f107b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FootnoteText">
    <w:name w:val="footnote text"/>
    <w:basedOn w:val="Normal"/>
    <w:link w:val="Style18"/>
    <w:uiPriority w:val="99"/>
    <w:unhideWhenUsed/>
    <w:rsid w:val="00855a6c"/>
    <w:pPr/>
    <w:rPr>
      <w:sz w:val="20"/>
    </w:rPr>
  </w:style>
  <w:style w:type="paragraph" w:styleId="xl63" w:customStyle="1">
    <w:name w:val="xl63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xl64" w:customStyle="1">
    <w:name w:val="xl64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szCs w:val="24"/>
    </w:rPr>
  </w:style>
  <w:style w:type="paragraph" w:styleId="22" w:customStyle="1">
    <w:name w:val="Обычный2"/>
    <w:qFormat/>
    <w:rsid w:val="00541b66"/>
    <w:pPr>
      <w:widowControl/>
      <w:bidi w:val="0"/>
      <w:spacing w:before="0" w:after="0"/>
      <w:jc w:val="both"/>
    </w:pPr>
    <w:rPr>
      <w:rFonts w:ascii="Arial" w:hAnsi="Arial" w:eastAsia="Arial" w:cs="Arial"/>
      <w:color w:val="auto"/>
      <w:kern w:val="0"/>
      <w:sz w:val="22"/>
      <w:szCs w:val="22"/>
      <w:lang w:eastAsia="ru-RU" w:val="ru-RU" w:bidi="ar-SA"/>
    </w:rPr>
  </w:style>
  <w:style w:type="paragraph" w:styleId="Style26">
    <w:name w:val="Верхний колонтитул слева"/>
    <w:basedOn w:val="Header"/>
    <w:qFormat/>
    <w:pPr/>
    <w:rPr/>
  </w:style>
  <w:style w:type="numbering" w:styleId="Style27" w:default="1">
    <w:name w:val="Без списка"/>
    <w:uiPriority w:val="99"/>
    <w:semiHidden/>
    <w:unhideWhenUsed/>
    <w:qFormat/>
  </w:style>
  <w:style w:type="numbering" w:styleId="14" w:customStyle="1">
    <w:name w:val="Нет списка1"/>
    <w:uiPriority w:val="99"/>
    <w:semiHidden/>
    <w:unhideWhenUsed/>
    <w:qFormat/>
    <w:rsid w:val="007c2ba9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7c2ba9"/>
    <w:pPr>
      <w:spacing w:before="120" w:after="0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7c2ba9"/>
    <w:pPr>
      <w:spacing w:after="0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ac383b"/>
    <w:pPr>
      <w:spacing w:after="0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59"/>
    <w:rsid w:val="00443b10"/>
    <w:pPr>
      <w:spacing w:before="120" w:after="0"/>
      <w:jc w:val="left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5B33E7538238026297BA112359CB8EB7997E6E2B2A55688B2519B88685C19C74D9279072F8F6856757EB7F4F0092A59S7vDD" TargetMode="External"/><Relationship Id="rId4" Type="http://schemas.openxmlformats.org/officeDocument/2006/relationships/hyperlink" Target="consultantplus://offline/ref=65B33E7538238026297BA112359CB8EB7997E6E2B2A55982B5519B88685C19C74D9279152FD764547464BFF4E55F7B1C214F46CB59D8E1E5666DBCSAv0D" TargetMode="External"/><Relationship Id="rId5" Type="http://schemas.openxmlformats.org/officeDocument/2006/relationships/hyperlink" Target="consultantplus://offline/ref=BCC80955539B4B33302EB92681132FCA6F925BE30529365A75B40B7A17228470D1F010138F3FE7873066K" TargetMode="External"/><Relationship Id="rId6" Type="http://schemas.openxmlformats.org/officeDocument/2006/relationships/hyperlink" Target="consultantplus://offline/ref=9B0D2DA33562783D1EBFDFBA55FEE80DF0E5CF1C4994F550831FF9DA58AA5D6F7A7304224237D77EC8023710C1I7zCE" TargetMode="External"/><Relationship Id="rId7" Type="http://schemas.openxmlformats.org/officeDocument/2006/relationships/hyperlink" Target="consultantplus://offline/ref=9B0D2DA33562783D1EBFDFBA55FEE80DF0E5CF1C4994F550831FF9DA58AA5D6F7A7304224237D77EC8023710C1I7zCE" TargetMode="External"/><Relationship Id="rId8" Type="http://schemas.openxmlformats.org/officeDocument/2006/relationships/hyperlink" Target="consultantplus://offline/ref=9B0D2DA33562783D1EBFDFBA55FEE80DF0E5CF1C4994F550831FF9DA58AA5D6F7A7304224237D77EC8023710C1I7zCE" TargetMode="External"/><Relationship Id="rId9" Type="http://schemas.openxmlformats.org/officeDocument/2006/relationships/hyperlink" Target="https://login.consultant.ru/link/?req=doc&amp;base=LAW&amp;n=507240&amp;dst=100162" TargetMode="External"/><Relationship Id="rId10" Type="http://schemas.openxmlformats.org/officeDocument/2006/relationships/hyperlink" Target="https://login.consultant.ru/link/?req=doc&amp;base=RLAW117&amp;n=48636&amp;dst=101251" TargetMode="External"/><Relationship Id="rId11" Type="http://schemas.openxmlformats.org/officeDocument/2006/relationships/hyperlink" Target="https://login.consultant.ru/link/?req=doc&amp;base=LAW&amp;n=490540" TargetMode="External"/><Relationship Id="rId12" Type="http://schemas.openxmlformats.org/officeDocument/2006/relationships/hyperlink" Target="https://login.consultant.ru/link/?req=doc&amp;base=RLAW117&amp;n=67214&amp;dst=100035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hyperlink" Target="https://login.consultant.ru/link/?req=doc&amp;base=LAW&amp;n=441135" TargetMode="External"/><Relationship Id="rId19" Type="http://schemas.openxmlformats.org/officeDocument/2006/relationships/header" Target="header4.xml"/><Relationship Id="rId20" Type="http://schemas.openxmlformats.org/officeDocument/2006/relationships/header" Target="header5.xml"/><Relationship Id="rId21" Type="http://schemas.openxmlformats.org/officeDocument/2006/relationships/header" Target="header6.xml"/><Relationship Id="rId22" Type="http://schemas.openxmlformats.org/officeDocument/2006/relationships/header" Target="header7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<Relationship Id="rId2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EAC4B-8275-46E0-A109-72E7A0B2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Application>LibreOffice/25.2.6.2$Linux_X86_64 LibreOffice_project/520$Build-2</Application>
  <AppVersion>15.0000</AppVersion>
  <Pages>43</Pages>
  <Words>6714</Words>
  <Characters>48675</Characters>
  <CharactersWithSpaces>53868</CharactersWithSpaces>
  <Paragraphs>1698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2026-03-13T06:30:00Z</dcterms:created>
  <dc:creator>TORG</dc:creator>
  <dc:description/>
  <dc:language>ru-RU</dc:language>
  <cp:lastModifiedBy/>
  <cp:lastPrinted>2026-03-13T10:50:00Z</cp:lastPrinted>
  <dcterms:modified xsi:type="dcterms:W3CDTF">2026-03-18T10:36:44Z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